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3C5F" w14:textId="77777777" w:rsidR="005432B9" w:rsidRPr="00B8015B" w:rsidRDefault="00000000">
      <w:pPr>
        <w:pStyle w:val="Heading1"/>
        <w:rPr>
          <w:rFonts w:ascii="Avenir Book" w:hAnsi="Avenir Book"/>
        </w:rPr>
      </w:pPr>
      <w:bookmarkStart w:id="0" w:name="X4aac52551dbf4ae35fead11bbfc5e46df20eea3"/>
      <w:r w:rsidRPr="00B8015B">
        <w:rPr>
          <w:rFonts w:ascii="Avenir Book" w:hAnsi="Avenir Book"/>
        </w:rPr>
        <w:t>Research Memorandum: Qualified Opportunity Zone Investments in Texas Divorce</w:t>
      </w:r>
    </w:p>
    <w:p w14:paraId="4607EF9D" w14:textId="77777777" w:rsidR="005432B9" w:rsidRPr="00B8015B" w:rsidRDefault="00000000">
      <w:pPr>
        <w:pStyle w:val="FirstParagraph"/>
        <w:rPr>
          <w:rFonts w:ascii="Avenir Book" w:hAnsi="Avenir Book"/>
        </w:rPr>
      </w:pPr>
      <w:r w:rsidRPr="00B8015B">
        <w:rPr>
          <w:rFonts w:ascii="Avenir Book" w:hAnsi="Avenir Book"/>
          <w:b/>
          <w:bCs/>
        </w:rPr>
        <w:t>Prepared for:</w:t>
      </w:r>
      <w:r w:rsidRPr="00B8015B">
        <w:rPr>
          <w:rFonts w:ascii="Avenir Book" w:hAnsi="Avenir Book"/>
        </w:rPr>
        <w:t xml:space="preserve"> CDT Landman Case - Advanced Training Development </w:t>
      </w:r>
      <w:r w:rsidRPr="00B8015B">
        <w:rPr>
          <w:rFonts w:ascii="Avenir Book" w:hAnsi="Avenir Book"/>
          <w:b/>
          <w:bCs/>
        </w:rPr>
        <w:t>Date:</w:t>
      </w:r>
      <w:r w:rsidRPr="00B8015B">
        <w:rPr>
          <w:rFonts w:ascii="Avenir Book" w:hAnsi="Avenir Book"/>
        </w:rPr>
        <w:t xml:space="preserve"> March 9, 2026 </w:t>
      </w:r>
      <w:r w:rsidRPr="00B8015B">
        <w:rPr>
          <w:rFonts w:ascii="Avenir Book" w:hAnsi="Avenir Book"/>
          <w:b/>
          <w:bCs/>
        </w:rPr>
        <w:t>Re:</w:t>
      </w:r>
      <w:r w:rsidRPr="00B8015B">
        <w:rPr>
          <w:rFonts w:ascii="Avenir Book" w:hAnsi="Avenir Book"/>
        </w:rPr>
        <w:t xml:space="preserve"> Intersection of Texas Community Property Law and Qualified Opportunity Zone (QOZ) Investments in Divorce</w:t>
      </w:r>
    </w:p>
    <w:p w14:paraId="3980317A" w14:textId="77777777" w:rsidR="005432B9" w:rsidRPr="00B8015B" w:rsidRDefault="00286CC4">
      <w:pPr>
        <w:rPr>
          <w:rFonts w:ascii="Avenir Book" w:hAnsi="Avenir Book"/>
        </w:rPr>
      </w:pPr>
      <w:r w:rsidRPr="00286CC4">
        <w:rPr>
          <w:rFonts w:ascii="Avenir Book" w:hAnsi="Avenir Book"/>
          <w:noProof/>
        </w:rPr>
        <w:pict w14:anchorId="59DD16E9">
          <v:rect id="_x0000_i1040" alt="" style="width:468pt;height:.05pt;mso-width-percent:0;mso-height-percent:0;mso-width-percent:0;mso-height-percent:0" o:hralign="center" o:hrstd="t" o:hr="t"/>
        </w:pict>
      </w:r>
    </w:p>
    <w:p w14:paraId="05F6EE30" w14:textId="77777777" w:rsidR="005432B9" w:rsidRPr="00B8015B" w:rsidRDefault="00000000">
      <w:pPr>
        <w:pStyle w:val="Heading2"/>
        <w:rPr>
          <w:rFonts w:ascii="Avenir Book" w:hAnsi="Avenir Book"/>
        </w:rPr>
      </w:pPr>
      <w:bookmarkStart w:id="1" w:name="table-of-contents"/>
      <w:r w:rsidRPr="00B8015B">
        <w:rPr>
          <w:rFonts w:ascii="Avenir Book" w:hAnsi="Avenir Book"/>
        </w:rPr>
        <w:t>Table of Contents</w:t>
      </w:r>
    </w:p>
    <w:p w14:paraId="6D1C6B3F" w14:textId="77777777" w:rsidR="005432B9" w:rsidRPr="00B8015B" w:rsidRDefault="00000000">
      <w:pPr>
        <w:pStyle w:val="Compact"/>
        <w:numPr>
          <w:ilvl w:val="0"/>
          <w:numId w:val="2"/>
        </w:numPr>
        <w:rPr>
          <w:rFonts w:ascii="Avenir Book" w:hAnsi="Avenir Book"/>
        </w:rPr>
      </w:pPr>
      <w:hyperlink w:anchor="X30c3c9d1f18a1f9d044e88b06a6ddbc3d6f7af7">
        <w:r w:rsidRPr="00B8015B">
          <w:rPr>
            <w:rStyle w:val="Hyperlink"/>
            <w:rFonts w:ascii="Avenir Book" w:hAnsi="Avenir Book"/>
          </w:rPr>
          <w:t>Community vs. Separate Property Characterization of QOZ Investments</w:t>
        </w:r>
      </w:hyperlink>
    </w:p>
    <w:p w14:paraId="764B387C" w14:textId="77777777" w:rsidR="005432B9" w:rsidRPr="00B8015B" w:rsidRDefault="00000000">
      <w:pPr>
        <w:pStyle w:val="Compact"/>
        <w:numPr>
          <w:ilvl w:val="0"/>
          <w:numId w:val="2"/>
        </w:numPr>
        <w:rPr>
          <w:rFonts w:ascii="Avenir Book" w:hAnsi="Avenir Book"/>
        </w:rPr>
      </w:pPr>
      <w:hyperlink w:anchor="X6d72a36aef75dfc2b55766883cef2fe135a0ecc">
        <w:r w:rsidRPr="00B8015B">
          <w:rPr>
            <w:rStyle w:val="Hyperlink"/>
            <w:rFonts w:ascii="Avenir Book" w:hAnsi="Avenir Book"/>
          </w:rPr>
          <w:t>Texas “Just and Right” Division and QOZ Assets</w:t>
        </w:r>
      </w:hyperlink>
    </w:p>
    <w:p w14:paraId="3EC2DCC4" w14:textId="77777777" w:rsidR="005432B9" w:rsidRPr="00B8015B" w:rsidRDefault="00000000">
      <w:pPr>
        <w:pStyle w:val="Compact"/>
        <w:numPr>
          <w:ilvl w:val="0"/>
          <w:numId w:val="2"/>
        </w:numPr>
        <w:rPr>
          <w:rFonts w:ascii="Avenir Book" w:hAnsi="Avenir Book"/>
        </w:rPr>
      </w:pPr>
      <w:hyperlink w:anchor="X6bac038d06c0a85a79e2ed8351953f72d5490fe">
        <w:r w:rsidRPr="00B8015B">
          <w:rPr>
            <w:rStyle w:val="Hyperlink"/>
            <w:rFonts w:ascii="Avenir Book" w:hAnsi="Avenir Book"/>
          </w:rPr>
          <w:t>Tax Allocation in Texas Divorce</w:t>
        </w:r>
      </w:hyperlink>
    </w:p>
    <w:p w14:paraId="549C1E73" w14:textId="77777777" w:rsidR="005432B9" w:rsidRPr="00B8015B" w:rsidRDefault="00000000">
      <w:pPr>
        <w:pStyle w:val="Compact"/>
        <w:numPr>
          <w:ilvl w:val="0"/>
          <w:numId w:val="2"/>
        </w:numPr>
        <w:rPr>
          <w:rFonts w:ascii="Avenir Book" w:hAnsi="Avenir Book"/>
        </w:rPr>
      </w:pPr>
      <w:hyperlink w:anchor="Xaca9654a28f0d97d37df9e79922151e42b5a06e">
        <w:r w:rsidRPr="00B8015B">
          <w:rPr>
            <w:rStyle w:val="Hyperlink"/>
            <w:rFonts w:ascii="Avenir Book" w:hAnsi="Avenir Book"/>
          </w:rPr>
          <w:t>Strategic Timing Considerations</w:t>
        </w:r>
      </w:hyperlink>
    </w:p>
    <w:p w14:paraId="0448F40D" w14:textId="77777777" w:rsidR="005432B9" w:rsidRPr="00B8015B" w:rsidRDefault="00000000">
      <w:pPr>
        <w:pStyle w:val="Compact"/>
        <w:numPr>
          <w:ilvl w:val="0"/>
          <w:numId w:val="2"/>
        </w:numPr>
        <w:rPr>
          <w:rFonts w:ascii="Avenir Book" w:hAnsi="Avenir Book"/>
        </w:rPr>
      </w:pPr>
      <w:hyperlink w:anchor="X6e35e67f4174abfcdaa9e54dfba6d6bc8fa83b3">
        <w:r w:rsidRPr="00B8015B">
          <w:rPr>
            <w:rStyle w:val="Hyperlink"/>
            <w:rFonts w:ascii="Avenir Book" w:hAnsi="Avenir Book"/>
          </w:rPr>
          <w:t>Collaborative Divorce Context</w:t>
        </w:r>
      </w:hyperlink>
    </w:p>
    <w:p w14:paraId="7DC75B21" w14:textId="77777777" w:rsidR="005432B9" w:rsidRPr="00B8015B" w:rsidRDefault="00000000">
      <w:pPr>
        <w:pStyle w:val="Compact"/>
        <w:numPr>
          <w:ilvl w:val="0"/>
          <w:numId w:val="2"/>
        </w:numPr>
        <w:rPr>
          <w:rFonts w:ascii="Avenir Book" w:hAnsi="Avenir Book"/>
        </w:rPr>
      </w:pPr>
      <w:hyperlink w:anchor="Xbd843734aedd036b120a56703a8a715157ad3a9">
        <w:r w:rsidRPr="00B8015B">
          <w:rPr>
            <w:rStyle w:val="Hyperlink"/>
            <w:rFonts w:ascii="Avenir Book" w:hAnsi="Avenir Book"/>
          </w:rPr>
          <w:t>Practical Guidance for Texas Practitioners</w:t>
        </w:r>
      </w:hyperlink>
    </w:p>
    <w:p w14:paraId="63FFFAF8" w14:textId="77777777" w:rsidR="005432B9" w:rsidRPr="00B8015B" w:rsidRDefault="00286CC4">
      <w:pPr>
        <w:rPr>
          <w:rFonts w:ascii="Avenir Book" w:hAnsi="Avenir Book"/>
        </w:rPr>
      </w:pPr>
      <w:r w:rsidRPr="00286CC4">
        <w:rPr>
          <w:rFonts w:ascii="Avenir Book" w:hAnsi="Avenir Book"/>
          <w:noProof/>
        </w:rPr>
        <w:pict w14:anchorId="214774F3">
          <v:rect id="_x0000_i1039" alt="" style="width:468pt;height:.05pt;mso-width-percent:0;mso-height-percent:0;mso-width-percent:0;mso-height-percent:0" o:hralign="center" o:hrstd="t" o:hr="t"/>
        </w:pict>
      </w:r>
    </w:p>
    <w:p w14:paraId="6E4BF134" w14:textId="77777777" w:rsidR="005432B9" w:rsidRPr="00B8015B" w:rsidRDefault="00000000">
      <w:pPr>
        <w:pStyle w:val="Heading2"/>
        <w:rPr>
          <w:rFonts w:ascii="Avenir Book" w:hAnsi="Avenir Book"/>
        </w:rPr>
      </w:pPr>
      <w:bookmarkStart w:id="2" w:name="X6d018a0606a4d7bc40bb001e4e0d245c7021b41"/>
      <w:bookmarkEnd w:id="1"/>
      <w:r w:rsidRPr="00B8015B">
        <w:rPr>
          <w:rFonts w:ascii="Avenir Book" w:hAnsi="Avenir Book"/>
        </w:rPr>
        <w:t>1. Community vs. Separate Property Characterization of QOZ Investments</w:t>
      </w:r>
    </w:p>
    <w:p w14:paraId="7271546B" w14:textId="77777777" w:rsidR="005432B9" w:rsidRPr="00B8015B" w:rsidRDefault="00000000">
      <w:pPr>
        <w:pStyle w:val="Heading3"/>
        <w:rPr>
          <w:rFonts w:ascii="Avenir Book" w:hAnsi="Avenir Book"/>
        </w:rPr>
      </w:pPr>
      <w:bookmarkStart w:id="3" w:name="the-scenario"/>
      <w:r w:rsidRPr="00B8015B">
        <w:rPr>
          <w:rFonts w:ascii="Avenir Book" w:hAnsi="Avenir Book"/>
        </w:rPr>
        <w:t>The Scenario</w:t>
      </w:r>
    </w:p>
    <w:p w14:paraId="00C088BB" w14:textId="77777777" w:rsidR="005432B9" w:rsidRPr="00B8015B" w:rsidRDefault="00000000">
      <w:pPr>
        <w:pStyle w:val="FirstParagraph"/>
        <w:rPr>
          <w:rFonts w:ascii="Avenir Book" w:hAnsi="Avenir Book"/>
        </w:rPr>
      </w:pPr>
      <w:r w:rsidRPr="00B8015B">
        <w:rPr>
          <w:rFonts w:ascii="Avenir Book" w:hAnsi="Avenir Book"/>
        </w:rPr>
        <w:t>Husband owns RSUs (Restricted Stock Units) from pre-marriage employment – separate property under Texas Family Code Section 3.001(2) (property owned before marriage). During marriage, he sells the RSUs, generating a capital gain. He then invests that capital gain into a Qualified Opportunity Fund (QOF) during the marriage under IRC Section 1400Z-2.</w:t>
      </w:r>
    </w:p>
    <w:p w14:paraId="754A2B26" w14:textId="77777777" w:rsidR="005432B9" w:rsidRPr="00B8015B" w:rsidRDefault="00000000">
      <w:pPr>
        <w:pStyle w:val="Heading3"/>
        <w:rPr>
          <w:rFonts w:ascii="Avenir Book" w:hAnsi="Avenir Book"/>
        </w:rPr>
      </w:pPr>
      <w:bookmarkStart w:id="4" w:name="governing-law"/>
      <w:bookmarkEnd w:id="3"/>
      <w:r w:rsidRPr="00B8015B">
        <w:rPr>
          <w:rFonts w:ascii="Avenir Book" w:hAnsi="Avenir Book"/>
        </w:rPr>
        <w:t>Governing Law</w:t>
      </w:r>
    </w:p>
    <w:p w14:paraId="39663A02" w14:textId="77777777" w:rsidR="005432B9" w:rsidRPr="00B8015B" w:rsidRDefault="00000000">
      <w:pPr>
        <w:pStyle w:val="FirstParagraph"/>
        <w:rPr>
          <w:rFonts w:ascii="Avenir Book" w:hAnsi="Avenir Book"/>
        </w:rPr>
      </w:pPr>
      <w:r w:rsidRPr="00B8015B">
        <w:rPr>
          <w:rFonts w:ascii="Avenir Book" w:hAnsi="Avenir Book"/>
          <w:b/>
          <w:bCs/>
        </w:rPr>
        <w:t>Texas Family Code Section 3.001</w:t>
      </w:r>
      <w:r w:rsidRPr="00B8015B">
        <w:rPr>
          <w:rFonts w:ascii="Avenir Book" w:hAnsi="Avenir Book"/>
        </w:rPr>
        <w:t xml:space="preserve"> defines separate property as: - Property owned or claimed before marriage - Property acquired during marriage by gift, devise, or descent - Recovery for personal injuries sustained during marriage (except lost earning capacity)</w:t>
      </w:r>
    </w:p>
    <w:p w14:paraId="21CC1EA4" w14:textId="77777777" w:rsidR="005432B9" w:rsidRPr="00B8015B" w:rsidRDefault="00000000">
      <w:pPr>
        <w:pStyle w:val="BodyText"/>
        <w:rPr>
          <w:rFonts w:ascii="Avenir Book" w:hAnsi="Avenir Book"/>
        </w:rPr>
      </w:pPr>
      <w:r w:rsidRPr="00B8015B">
        <w:rPr>
          <w:rFonts w:ascii="Avenir Book" w:hAnsi="Avenir Book"/>
          <w:b/>
          <w:bCs/>
        </w:rPr>
        <w:t>Texas Family Code Section 3.002</w:t>
      </w:r>
      <w:r w:rsidRPr="00B8015B">
        <w:rPr>
          <w:rFonts w:ascii="Avenir Book" w:hAnsi="Avenir Book"/>
        </w:rPr>
        <w:t xml:space="preserve"> defines community property as property, other than separate property, acquired by either spouse during marriage.</w:t>
      </w:r>
    </w:p>
    <w:p w14:paraId="2EC05119" w14:textId="77777777" w:rsidR="005432B9" w:rsidRPr="00B8015B" w:rsidRDefault="00000000">
      <w:pPr>
        <w:pStyle w:val="BodyText"/>
        <w:rPr>
          <w:rFonts w:ascii="Avenir Book" w:hAnsi="Avenir Book"/>
        </w:rPr>
      </w:pPr>
      <w:r w:rsidRPr="00B8015B">
        <w:rPr>
          <w:rFonts w:ascii="Avenir Book" w:hAnsi="Avenir Book"/>
          <w:b/>
          <w:bCs/>
        </w:rPr>
        <w:lastRenderedPageBreak/>
        <w:t>Texas Family Code Section 3.003</w:t>
      </w:r>
      <w:r w:rsidRPr="00B8015B">
        <w:rPr>
          <w:rFonts w:ascii="Avenir Book" w:hAnsi="Avenir Book"/>
        </w:rPr>
        <w:t xml:space="preserve"> establishes the community property presumption: Property possessed by either spouse during or on dissolution of marriage is </w:t>
      </w:r>
      <w:r w:rsidRPr="00B8015B">
        <w:rPr>
          <w:rFonts w:ascii="Avenir Book" w:hAnsi="Avenir Book"/>
          <w:b/>
          <w:bCs/>
        </w:rPr>
        <w:t>presumed</w:t>
      </w:r>
      <w:r w:rsidRPr="00B8015B">
        <w:rPr>
          <w:rFonts w:ascii="Avenir Book" w:hAnsi="Avenir Book"/>
        </w:rPr>
        <w:t xml:space="preserve"> to be community property. The degree of proof necessary to establish that property is separate property is </w:t>
      </w:r>
      <w:r w:rsidRPr="00B8015B">
        <w:rPr>
          <w:rFonts w:ascii="Avenir Book" w:hAnsi="Avenir Book"/>
          <w:b/>
          <w:bCs/>
        </w:rPr>
        <w:t>clear and convincing evidence</w:t>
      </w:r>
      <w:r w:rsidRPr="00B8015B">
        <w:rPr>
          <w:rFonts w:ascii="Avenir Book" w:hAnsi="Avenir Book"/>
        </w:rPr>
        <w:t>.</w:t>
      </w:r>
    </w:p>
    <w:p w14:paraId="22F3E58E" w14:textId="77777777" w:rsidR="005432B9" w:rsidRPr="00B8015B" w:rsidRDefault="00000000">
      <w:pPr>
        <w:pStyle w:val="Heading3"/>
        <w:rPr>
          <w:rFonts w:ascii="Avenir Book" w:hAnsi="Avenir Book"/>
        </w:rPr>
      </w:pPr>
      <w:bookmarkStart w:id="5" w:name="analysis-inception-of-title-doctrine"/>
      <w:bookmarkEnd w:id="4"/>
      <w:r w:rsidRPr="00B8015B">
        <w:rPr>
          <w:rFonts w:ascii="Avenir Book" w:hAnsi="Avenir Book"/>
        </w:rPr>
        <w:t>Analysis: Inception of Title Doctrine</w:t>
      </w:r>
    </w:p>
    <w:p w14:paraId="01BA3847" w14:textId="77777777" w:rsidR="005432B9" w:rsidRPr="00B8015B" w:rsidRDefault="00000000">
      <w:pPr>
        <w:pStyle w:val="FirstParagraph"/>
        <w:rPr>
          <w:rFonts w:ascii="Avenir Book" w:hAnsi="Avenir Book"/>
        </w:rPr>
      </w:pPr>
      <w:r w:rsidRPr="00B8015B">
        <w:rPr>
          <w:rFonts w:ascii="Avenir Book" w:hAnsi="Avenir Book"/>
        </w:rPr>
        <w:t xml:space="preserve">The foundational Texas rule is the </w:t>
      </w:r>
      <w:r w:rsidRPr="00B8015B">
        <w:rPr>
          <w:rFonts w:ascii="Avenir Book" w:hAnsi="Avenir Book"/>
          <w:b/>
          <w:bCs/>
        </w:rPr>
        <w:t>inception of title doctrine</w:t>
      </w:r>
      <w:r w:rsidRPr="00B8015B">
        <w:rPr>
          <w:rFonts w:ascii="Avenir Book" w:hAnsi="Avenir Book"/>
        </w:rPr>
        <w:t xml:space="preserve">, established in </w:t>
      </w:r>
      <w:r w:rsidRPr="00B8015B">
        <w:rPr>
          <w:rFonts w:ascii="Avenir Book" w:hAnsi="Avenir Book"/>
          <w:i/>
          <w:iCs/>
        </w:rPr>
        <w:t>Henry S. Miller Co. v. Evans</w:t>
      </w:r>
      <w:r w:rsidRPr="00B8015B">
        <w:rPr>
          <w:rFonts w:ascii="Avenir Book" w:hAnsi="Avenir Book"/>
        </w:rPr>
        <w:t>, 452 S.W.2d 426, 430 (Tex. 1970). Under this doctrine, the character of property (community or separate) is determined at the time the right to acquire the property first arises, and subsequent events do not change that character.</w:t>
      </w:r>
    </w:p>
    <w:p w14:paraId="600DBE67" w14:textId="77777777" w:rsidR="005432B9" w:rsidRPr="00B8015B" w:rsidRDefault="00000000">
      <w:pPr>
        <w:pStyle w:val="BodyText"/>
        <w:rPr>
          <w:rFonts w:ascii="Avenir Book" w:hAnsi="Avenir Book"/>
        </w:rPr>
      </w:pPr>
      <w:r w:rsidRPr="00B8015B">
        <w:rPr>
          <w:rFonts w:ascii="Avenir Book" w:hAnsi="Avenir Book"/>
          <w:b/>
          <w:bCs/>
        </w:rPr>
        <w:t>Application to the QOF scenario:</w:t>
      </w:r>
    </w:p>
    <w:p w14:paraId="0A4E619F" w14:textId="77777777" w:rsidR="005432B9" w:rsidRPr="00B8015B" w:rsidRDefault="00000000">
      <w:pPr>
        <w:pStyle w:val="BodyText"/>
        <w:rPr>
          <w:rFonts w:ascii="Avenir Book" w:hAnsi="Avenir Book"/>
        </w:rPr>
      </w:pPr>
      <w:r w:rsidRPr="00B8015B">
        <w:rPr>
          <w:rFonts w:ascii="Avenir Book" w:hAnsi="Avenir Book"/>
        </w:rPr>
        <w:t>The RSUs were acquired before marriage and are clearly separate property. The critical question is whether the proceeds from selling the RSUs, and the subsequent QOF investment purchased with those proceeds, retain their separate character.</w:t>
      </w:r>
    </w:p>
    <w:p w14:paraId="7C03BFF7" w14:textId="77777777" w:rsidR="005432B9" w:rsidRPr="00B8015B" w:rsidRDefault="00000000">
      <w:pPr>
        <w:pStyle w:val="Heading3"/>
        <w:rPr>
          <w:rFonts w:ascii="Avenir Book" w:hAnsi="Avenir Book"/>
        </w:rPr>
      </w:pPr>
      <w:bookmarkStart w:id="6" w:name="tracing-principles"/>
      <w:bookmarkEnd w:id="5"/>
      <w:r w:rsidRPr="00B8015B">
        <w:rPr>
          <w:rFonts w:ascii="Avenir Book" w:hAnsi="Avenir Book"/>
        </w:rPr>
        <w:t>Tracing Principles</w:t>
      </w:r>
    </w:p>
    <w:p w14:paraId="36E85134" w14:textId="77777777" w:rsidR="005432B9" w:rsidRPr="00B8015B" w:rsidRDefault="00000000">
      <w:pPr>
        <w:pStyle w:val="FirstParagraph"/>
        <w:rPr>
          <w:rFonts w:ascii="Avenir Book" w:hAnsi="Avenir Book"/>
        </w:rPr>
      </w:pPr>
      <w:r w:rsidRPr="00B8015B">
        <w:rPr>
          <w:rFonts w:ascii="Avenir Book" w:hAnsi="Avenir Book"/>
        </w:rPr>
        <w:t xml:space="preserve">Texas law is well-settled that </w:t>
      </w:r>
      <w:r w:rsidRPr="00B8015B">
        <w:rPr>
          <w:rFonts w:ascii="Avenir Book" w:hAnsi="Avenir Book"/>
          <w:b/>
          <w:bCs/>
        </w:rPr>
        <w:t>proceeds from the sale of separate property remain separate property</w:t>
      </w:r>
      <w:r w:rsidRPr="00B8015B">
        <w:rPr>
          <w:rFonts w:ascii="Avenir Book" w:hAnsi="Avenir Book"/>
        </w:rPr>
        <w:t xml:space="preserve">, provided they can be traced. </w:t>
      </w:r>
      <w:r w:rsidRPr="00B8015B">
        <w:rPr>
          <w:rFonts w:ascii="Avenir Book" w:hAnsi="Avenir Book"/>
          <w:i/>
          <w:iCs/>
        </w:rPr>
        <w:t>See Smith v. Smith</w:t>
      </w:r>
      <w:r w:rsidRPr="00B8015B">
        <w:rPr>
          <w:rFonts w:ascii="Avenir Book" w:hAnsi="Avenir Book"/>
        </w:rPr>
        <w:t>, 22 S.W.3d 140, 145 (Tex. App.–Houston [14th Dist.] 2000, no pet.). The principle extends through mutations of the property:</w:t>
      </w:r>
    </w:p>
    <w:p w14:paraId="09801614" w14:textId="77777777" w:rsidR="005432B9" w:rsidRPr="00B8015B" w:rsidRDefault="00000000">
      <w:pPr>
        <w:pStyle w:val="Compact"/>
        <w:numPr>
          <w:ilvl w:val="0"/>
          <w:numId w:val="3"/>
        </w:numPr>
        <w:rPr>
          <w:rFonts w:ascii="Avenir Book" w:hAnsi="Avenir Book"/>
        </w:rPr>
      </w:pPr>
      <w:r w:rsidRPr="00B8015B">
        <w:rPr>
          <w:rFonts w:ascii="Avenir Book" w:hAnsi="Avenir Book"/>
          <w:b/>
          <w:bCs/>
        </w:rPr>
        <w:t>Capital gains</w:t>
      </w:r>
      <w:r w:rsidRPr="00B8015B">
        <w:rPr>
          <w:rFonts w:ascii="Avenir Book" w:hAnsi="Avenir Book"/>
        </w:rPr>
        <w:t xml:space="preserve"> from separate property that are reinvested retain their separate character</w:t>
      </w:r>
    </w:p>
    <w:p w14:paraId="11DBBD1C" w14:textId="77777777" w:rsidR="005432B9" w:rsidRPr="00B8015B" w:rsidRDefault="00000000">
      <w:pPr>
        <w:pStyle w:val="Compact"/>
        <w:numPr>
          <w:ilvl w:val="0"/>
          <w:numId w:val="3"/>
        </w:numPr>
        <w:rPr>
          <w:rFonts w:ascii="Avenir Book" w:hAnsi="Avenir Book"/>
        </w:rPr>
      </w:pPr>
      <w:r w:rsidRPr="00B8015B">
        <w:rPr>
          <w:rFonts w:ascii="Avenir Book" w:hAnsi="Avenir Book"/>
          <w:b/>
          <w:bCs/>
        </w:rPr>
        <w:t>Cash dividends</w:t>
      </w:r>
      <w:r w:rsidRPr="00B8015B">
        <w:rPr>
          <w:rFonts w:ascii="Avenir Book" w:hAnsi="Avenir Book"/>
        </w:rPr>
        <w:t>, however, are community property (as they represent income from the separate estate)</w:t>
      </w:r>
    </w:p>
    <w:p w14:paraId="35F2855C" w14:textId="77777777" w:rsidR="005432B9" w:rsidRPr="00B8015B" w:rsidRDefault="00000000">
      <w:pPr>
        <w:pStyle w:val="Compact"/>
        <w:numPr>
          <w:ilvl w:val="0"/>
          <w:numId w:val="3"/>
        </w:numPr>
        <w:rPr>
          <w:rFonts w:ascii="Avenir Book" w:hAnsi="Avenir Book"/>
        </w:rPr>
      </w:pPr>
      <w:r w:rsidRPr="00B8015B">
        <w:rPr>
          <w:rFonts w:ascii="Avenir Book" w:hAnsi="Avenir Book"/>
        </w:rPr>
        <w:t xml:space="preserve">The key requirement is that </w:t>
      </w:r>
      <w:r w:rsidRPr="00B8015B">
        <w:rPr>
          <w:rFonts w:ascii="Avenir Book" w:hAnsi="Avenir Book"/>
          <w:b/>
          <w:bCs/>
        </w:rPr>
        <w:t>clear and convincing tracing</w:t>
      </w:r>
      <w:r w:rsidRPr="00B8015B">
        <w:rPr>
          <w:rFonts w:ascii="Avenir Book" w:hAnsi="Avenir Book"/>
        </w:rPr>
        <w:t xml:space="preserve"> evidence must connect the original separate property through each transformation to the current asset</w:t>
      </w:r>
    </w:p>
    <w:p w14:paraId="33F2D804" w14:textId="77777777" w:rsidR="005432B9" w:rsidRPr="00B8015B" w:rsidRDefault="00000000">
      <w:pPr>
        <w:pStyle w:val="Heading3"/>
        <w:rPr>
          <w:rFonts w:ascii="Avenir Book" w:hAnsi="Avenir Book"/>
        </w:rPr>
      </w:pPr>
      <w:bookmarkStart w:id="7" w:name="characterization-of-the-qof-interest"/>
      <w:bookmarkEnd w:id="6"/>
      <w:r w:rsidRPr="00B8015B">
        <w:rPr>
          <w:rFonts w:ascii="Avenir Book" w:hAnsi="Avenir Book"/>
        </w:rPr>
        <w:t>Characterization of the QOF Interest</w:t>
      </w:r>
    </w:p>
    <w:p w14:paraId="0655D0C5" w14:textId="77777777" w:rsidR="005432B9" w:rsidRPr="00B8015B" w:rsidRDefault="00000000">
      <w:pPr>
        <w:pStyle w:val="FirstParagraph"/>
        <w:rPr>
          <w:rFonts w:ascii="Avenir Book" w:hAnsi="Avenir Book"/>
        </w:rPr>
      </w:pPr>
      <w:r w:rsidRPr="00B8015B">
        <w:rPr>
          <w:rFonts w:ascii="Avenir Book" w:hAnsi="Avenir Book"/>
          <w:b/>
          <w:bCs/>
        </w:rPr>
        <w:t>Strong argument for SEPARATE PROPERTY:</w:t>
      </w:r>
    </w:p>
    <w:p w14:paraId="2536DBB4" w14:textId="77777777" w:rsidR="005432B9" w:rsidRPr="00B8015B" w:rsidRDefault="00000000">
      <w:pPr>
        <w:pStyle w:val="Compact"/>
        <w:numPr>
          <w:ilvl w:val="0"/>
          <w:numId w:val="4"/>
        </w:numPr>
        <w:rPr>
          <w:rFonts w:ascii="Avenir Book" w:hAnsi="Avenir Book"/>
        </w:rPr>
      </w:pPr>
      <w:r w:rsidRPr="00B8015B">
        <w:rPr>
          <w:rFonts w:ascii="Avenir Book" w:hAnsi="Avenir Book"/>
        </w:rPr>
        <w:t>The RSUs were pre-marriage separate property</w:t>
      </w:r>
    </w:p>
    <w:p w14:paraId="44973C77" w14:textId="77777777" w:rsidR="005432B9" w:rsidRPr="00B8015B" w:rsidRDefault="00000000">
      <w:pPr>
        <w:pStyle w:val="Compact"/>
        <w:numPr>
          <w:ilvl w:val="0"/>
          <w:numId w:val="4"/>
        </w:numPr>
        <w:rPr>
          <w:rFonts w:ascii="Avenir Book" w:hAnsi="Avenir Book"/>
        </w:rPr>
      </w:pPr>
      <w:r w:rsidRPr="00B8015B">
        <w:rPr>
          <w:rFonts w:ascii="Avenir Book" w:hAnsi="Avenir Book"/>
        </w:rPr>
        <w:t>The capital gain from selling the RSUs is a capital gain from separate property – it retains separate character under Texas tracing doctrine</w:t>
      </w:r>
    </w:p>
    <w:p w14:paraId="78F78448" w14:textId="77777777" w:rsidR="005432B9" w:rsidRPr="00B8015B" w:rsidRDefault="00000000">
      <w:pPr>
        <w:pStyle w:val="Compact"/>
        <w:numPr>
          <w:ilvl w:val="0"/>
          <w:numId w:val="4"/>
        </w:numPr>
        <w:rPr>
          <w:rFonts w:ascii="Avenir Book" w:hAnsi="Avenir Book"/>
        </w:rPr>
      </w:pPr>
      <w:r w:rsidRPr="00B8015B">
        <w:rPr>
          <w:rFonts w:ascii="Avenir Book" w:hAnsi="Avenir Book"/>
        </w:rPr>
        <w:t>The QOF investment is the direct reinvestment of those separate property proceeds</w:t>
      </w:r>
    </w:p>
    <w:p w14:paraId="4A9AC34E" w14:textId="77777777" w:rsidR="005432B9" w:rsidRPr="00B8015B" w:rsidRDefault="00000000">
      <w:pPr>
        <w:pStyle w:val="Compact"/>
        <w:numPr>
          <w:ilvl w:val="0"/>
          <w:numId w:val="4"/>
        </w:numPr>
        <w:rPr>
          <w:rFonts w:ascii="Avenir Book" w:hAnsi="Avenir Book"/>
        </w:rPr>
      </w:pPr>
      <w:r w:rsidRPr="00B8015B">
        <w:rPr>
          <w:rFonts w:ascii="Avenir Book" w:hAnsi="Avenir Book"/>
        </w:rPr>
        <w:t>Under the “mutation” principle, although the property changed form (RSUs to cash to QOF interest), as long as it can be traced, it remains separate property</w:t>
      </w:r>
    </w:p>
    <w:p w14:paraId="2E4358A2" w14:textId="77777777" w:rsidR="005432B9" w:rsidRPr="00B8015B" w:rsidRDefault="00000000">
      <w:pPr>
        <w:pStyle w:val="Compact"/>
        <w:numPr>
          <w:ilvl w:val="0"/>
          <w:numId w:val="4"/>
        </w:numPr>
        <w:rPr>
          <w:rFonts w:ascii="Avenir Book" w:hAnsi="Avenir Book"/>
        </w:rPr>
      </w:pPr>
      <w:r w:rsidRPr="00B8015B">
        <w:rPr>
          <w:rFonts w:ascii="Avenir Book" w:hAnsi="Avenir Book"/>
        </w:rPr>
        <w:t>The inception of title doctrine looks to when the right to the property arose – the underlying economic right traces back to the pre-marriage RSUs</w:t>
      </w:r>
    </w:p>
    <w:p w14:paraId="68AC1BC3" w14:textId="77777777" w:rsidR="005432B9" w:rsidRPr="00B8015B" w:rsidRDefault="00000000">
      <w:pPr>
        <w:pStyle w:val="FirstParagraph"/>
        <w:rPr>
          <w:rFonts w:ascii="Avenir Book" w:hAnsi="Avenir Book"/>
        </w:rPr>
      </w:pPr>
      <w:r w:rsidRPr="00B8015B">
        <w:rPr>
          <w:rFonts w:ascii="Avenir Book" w:hAnsi="Avenir Book"/>
          <w:b/>
          <w:bCs/>
        </w:rPr>
        <w:t>Arguments for COMMUNITY PROPERTY (or mixed character):</w:t>
      </w:r>
    </w:p>
    <w:p w14:paraId="2DB1EAAC" w14:textId="77777777" w:rsidR="005432B9" w:rsidRPr="00B8015B" w:rsidRDefault="00000000">
      <w:pPr>
        <w:pStyle w:val="Compact"/>
        <w:numPr>
          <w:ilvl w:val="0"/>
          <w:numId w:val="5"/>
        </w:numPr>
        <w:rPr>
          <w:rFonts w:ascii="Avenir Book" w:hAnsi="Avenir Book"/>
        </w:rPr>
      </w:pPr>
      <w:r w:rsidRPr="00B8015B">
        <w:rPr>
          <w:rFonts w:ascii="Avenir Book" w:hAnsi="Avenir Book"/>
          <w:b/>
          <w:bCs/>
        </w:rPr>
        <w:t>Community property presumption</w:t>
      </w:r>
      <w:r w:rsidRPr="00B8015B">
        <w:rPr>
          <w:rFonts w:ascii="Avenir Book" w:hAnsi="Avenir Book"/>
        </w:rPr>
        <w:t xml:space="preserve"> (TFC Section 3.003): The QOF interest was acquired during marriage. The burden falls on Husband to overcome this presumption with clear and convincing evidence</w:t>
      </w:r>
    </w:p>
    <w:p w14:paraId="1D84925E" w14:textId="77777777" w:rsidR="005432B9" w:rsidRPr="00B8015B" w:rsidRDefault="00000000">
      <w:pPr>
        <w:pStyle w:val="Compact"/>
        <w:numPr>
          <w:ilvl w:val="0"/>
          <w:numId w:val="5"/>
        </w:numPr>
        <w:rPr>
          <w:rFonts w:ascii="Avenir Book" w:hAnsi="Avenir Book"/>
        </w:rPr>
      </w:pPr>
      <w:r w:rsidRPr="00B8015B">
        <w:rPr>
          <w:rFonts w:ascii="Avenir Book" w:hAnsi="Avenir Book"/>
          <w:b/>
          <w:bCs/>
        </w:rPr>
        <w:t>Community effort/labor</w:t>
      </w:r>
      <w:r w:rsidRPr="00B8015B">
        <w:rPr>
          <w:rFonts w:ascii="Avenir Book" w:hAnsi="Avenir Book"/>
        </w:rPr>
        <w:t xml:space="preserve">: If Husband used community time, effort, and expertise to: (a) decide when to sell the RSUs, (b) identify the QOF investment opportunity, (c) </w:t>
      </w:r>
      <w:r w:rsidRPr="00B8015B">
        <w:rPr>
          <w:rFonts w:ascii="Avenir Book" w:hAnsi="Avenir Book"/>
        </w:rPr>
        <w:lastRenderedPageBreak/>
        <w:t xml:space="preserve">perform due diligence on the QOZ fund, (d) manage the QOF investment during marriage – there may be a reimbursement claim by the community estate under </w:t>
      </w:r>
      <w:r w:rsidRPr="00B8015B">
        <w:rPr>
          <w:rFonts w:ascii="Avenir Book" w:hAnsi="Avenir Book"/>
          <w:i/>
          <w:iCs/>
        </w:rPr>
        <w:t>Jensen v. Jensen</w:t>
      </w:r>
      <w:r w:rsidRPr="00B8015B">
        <w:rPr>
          <w:rFonts w:ascii="Avenir Book" w:hAnsi="Avenir Book"/>
        </w:rPr>
        <w:t>, 665 S.W.2d 107 (Tex. 1984)</w:t>
      </w:r>
    </w:p>
    <w:p w14:paraId="01EFD760" w14:textId="77777777" w:rsidR="005432B9" w:rsidRPr="00B8015B" w:rsidRDefault="00000000">
      <w:pPr>
        <w:pStyle w:val="Compact"/>
        <w:numPr>
          <w:ilvl w:val="0"/>
          <w:numId w:val="5"/>
        </w:numPr>
        <w:rPr>
          <w:rFonts w:ascii="Avenir Book" w:hAnsi="Avenir Book"/>
        </w:rPr>
      </w:pPr>
      <w:r w:rsidRPr="00B8015B">
        <w:rPr>
          <w:rFonts w:ascii="Avenir Book" w:hAnsi="Avenir Book"/>
          <w:b/>
          <w:bCs/>
        </w:rPr>
        <w:t>Commingling risk</w:t>
      </w:r>
      <w:r w:rsidRPr="00B8015B">
        <w:rPr>
          <w:rFonts w:ascii="Avenir Book" w:hAnsi="Avenir Book"/>
        </w:rPr>
        <w:t>: If the RSU sale proceeds were deposited into a joint account and commingled with community funds before the QOF investment, tracing may fail</w:t>
      </w:r>
    </w:p>
    <w:p w14:paraId="69262C54" w14:textId="77777777" w:rsidR="005432B9" w:rsidRPr="00B8015B" w:rsidRDefault="00000000">
      <w:pPr>
        <w:pStyle w:val="Compact"/>
        <w:numPr>
          <w:ilvl w:val="0"/>
          <w:numId w:val="5"/>
        </w:numPr>
        <w:rPr>
          <w:rFonts w:ascii="Avenir Book" w:hAnsi="Avenir Book"/>
        </w:rPr>
      </w:pPr>
      <w:r w:rsidRPr="00B8015B">
        <w:rPr>
          <w:rFonts w:ascii="Avenir Book" w:hAnsi="Avenir Book"/>
          <w:b/>
          <w:bCs/>
        </w:rPr>
        <w:t>The “new asset” argument</w:t>
      </w:r>
      <w:r w:rsidRPr="00B8015B">
        <w:rPr>
          <w:rFonts w:ascii="Avenir Book" w:hAnsi="Avenir Book"/>
        </w:rPr>
        <w:t>: One could argue the QOF interest is an entirely new investment vehicle, not merely a mutation of the RSUs, and that inception of title attaches at the time the QOF subscription agreement is executed during the marriage</w:t>
      </w:r>
    </w:p>
    <w:p w14:paraId="787F8408" w14:textId="77777777" w:rsidR="005432B9" w:rsidRPr="00B8015B" w:rsidRDefault="00000000">
      <w:pPr>
        <w:pStyle w:val="Heading3"/>
        <w:rPr>
          <w:rFonts w:ascii="Avenir Book" w:hAnsi="Avenir Book"/>
        </w:rPr>
      </w:pPr>
      <w:bookmarkStart w:id="8" w:name="key-finding-likely-characterization"/>
      <w:bookmarkEnd w:id="7"/>
      <w:r w:rsidRPr="00B8015B">
        <w:rPr>
          <w:rFonts w:ascii="Avenir Book" w:hAnsi="Avenir Book"/>
        </w:rPr>
        <w:t>KEY FINDING – Likely Characterization</w:t>
      </w:r>
    </w:p>
    <w:p w14:paraId="4EF91EDE" w14:textId="77777777" w:rsidR="005432B9" w:rsidRPr="00B8015B" w:rsidRDefault="00000000">
      <w:pPr>
        <w:pStyle w:val="FirstParagraph"/>
        <w:rPr>
          <w:rFonts w:ascii="Avenir Book" w:hAnsi="Avenir Book"/>
        </w:rPr>
      </w:pPr>
      <w:r w:rsidRPr="00B8015B">
        <w:rPr>
          <w:rFonts w:ascii="Avenir Book" w:hAnsi="Avenir Book"/>
        </w:rPr>
        <w:t xml:space="preserve">The QOF interest is </w:t>
      </w:r>
      <w:r w:rsidRPr="00B8015B">
        <w:rPr>
          <w:rFonts w:ascii="Avenir Book" w:hAnsi="Avenir Book"/>
          <w:b/>
          <w:bCs/>
        </w:rPr>
        <w:t>most likely separate property</w:t>
      </w:r>
      <w:r w:rsidRPr="00B8015B">
        <w:rPr>
          <w:rFonts w:ascii="Avenir Book" w:hAnsi="Avenir Book"/>
        </w:rPr>
        <w:t xml:space="preserve"> if Husband can demonstrate clear and convincing tracing from the pre-marriage RSUs through to the QOF investment. The stronger the paper trail (direct deposit from RSU sale into QOF, no commingling with community funds), the stronger the separate property claim. However, the community estate likely has a </w:t>
      </w:r>
      <w:r w:rsidRPr="00B8015B">
        <w:rPr>
          <w:rFonts w:ascii="Avenir Book" w:hAnsi="Avenir Book"/>
          <w:b/>
          <w:bCs/>
        </w:rPr>
        <w:t>reimbursement claim</w:t>
      </w:r>
      <w:r w:rsidRPr="00B8015B">
        <w:rPr>
          <w:rFonts w:ascii="Avenir Book" w:hAnsi="Avenir Book"/>
        </w:rPr>
        <w:t xml:space="preserve"> for community effort expended in managing these investments during marriage, under Texas Family Code Section 3.402.</w:t>
      </w:r>
    </w:p>
    <w:p w14:paraId="4621FD25" w14:textId="77777777" w:rsidR="005432B9" w:rsidRPr="00B8015B" w:rsidRDefault="00000000">
      <w:pPr>
        <w:pStyle w:val="BodyText"/>
        <w:rPr>
          <w:rFonts w:ascii="Avenir Book" w:hAnsi="Avenir Book"/>
        </w:rPr>
      </w:pPr>
      <w:r w:rsidRPr="00B8015B">
        <w:rPr>
          <w:rFonts w:ascii="Avenir Book" w:hAnsi="Avenir Book"/>
          <w:b/>
          <w:bCs/>
        </w:rPr>
        <w:t>AREA OF UNSETTLED LAW:</w:t>
      </w:r>
      <w:r w:rsidRPr="00B8015B">
        <w:rPr>
          <w:rFonts w:ascii="Avenir Book" w:hAnsi="Avenir Book"/>
        </w:rPr>
        <w:t xml:space="preserve"> No reported Texas case has specifically addressed QOF/QOZ investments in the community property characterization context. This is a novel application of well-established tracing principles to a relatively new investment vehicle (QOZ program created by the Tax Cuts and Jobs Act of 2017).</w:t>
      </w:r>
    </w:p>
    <w:p w14:paraId="20F94DC2" w14:textId="77777777" w:rsidR="005432B9" w:rsidRPr="00B8015B" w:rsidRDefault="00286CC4">
      <w:pPr>
        <w:rPr>
          <w:rFonts w:ascii="Avenir Book" w:hAnsi="Avenir Book"/>
        </w:rPr>
      </w:pPr>
      <w:r w:rsidRPr="00286CC4">
        <w:rPr>
          <w:rFonts w:ascii="Avenir Book" w:hAnsi="Avenir Book"/>
          <w:noProof/>
        </w:rPr>
        <w:pict w14:anchorId="7C43592E">
          <v:rect id="_x0000_i1038" alt="" style="width:468pt;height:.05pt;mso-width-percent:0;mso-height-percent:0;mso-width-percent:0;mso-height-percent:0" o:hralign="center" o:hrstd="t" o:hr="t"/>
        </w:pict>
      </w:r>
    </w:p>
    <w:p w14:paraId="1728D2BC" w14:textId="77777777" w:rsidR="005432B9" w:rsidRPr="00B8015B" w:rsidRDefault="00000000">
      <w:pPr>
        <w:pStyle w:val="Heading2"/>
        <w:rPr>
          <w:rFonts w:ascii="Avenir Book" w:hAnsi="Avenir Book"/>
        </w:rPr>
      </w:pPr>
      <w:bookmarkStart w:id="9" w:name="X9d7b5234adefdbaf0b03c736191dd342876012f"/>
      <w:bookmarkEnd w:id="2"/>
      <w:bookmarkEnd w:id="8"/>
      <w:r w:rsidRPr="00B8015B">
        <w:rPr>
          <w:rFonts w:ascii="Avenir Book" w:hAnsi="Avenir Book"/>
        </w:rPr>
        <w:t>2. Texas “Just and Right” Division and QOZ Assets</w:t>
      </w:r>
    </w:p>
    <w:p w14:paraId="1429462C" w14:textId="77777777" w:rsidR="005432B9" w:rsidRPr="00B8015B" w:rsidRDefault="00000000">
      <w:pPr>
        <w:pStyle w:val="Heading3"/>
        <w:rPr>
          <w:rFonts w:ascii="Avenir Book" w:hAnsi="Avenir Book"/>
        </w:rPr>
      </w:pPr>
      <w:bookmarkStart w:id="10" w:name="governing-law-1"/>
      <w:r w:rsidRPr="00B8015B">
        <w:rPr>
          <w:rFonts w:ascii="Avenir Book" w:hAnsi="Avenir Book"/>
        </w:rPr>
        <w:t>Governing Law</w:t>
      </w:r>
    </w:p>
    <w:p w14:paraId="0E75D197" w14:textId="77777777" w:rsidR="005432B9" w:rsidRPr="00B8015B" w:rsidRDefault="00000000">
      <w:pPr>
        <w:pStyle w:val="FirstParagraph"/>
        <w:rPr>
          <w:rFonts w:ascii="Avenir Book" w:hAnsi="Avenir Book"/>
        </w:rPr>
      </w:pPr>
      <w:r w:rsidRPr="00B8015B">
        <w:rPr>
          <w:rFonts w:ascii="Avenir Book" w:hAnsi="Avenir Book"/>
          <w:b/>
          <w:bCs/>
        </w:rPr>
        <w:t>Texas Family Code Section 7.001</w:t>
      </w:r>
      <w:r w:rsidRPr="00B8015B">
        <w:rPr>
          <w:rFonts w:ascii="Avenir Book" w:hAnsi="Avenir Book"/>
        </w:rPr>
        <w:t>: “In a decree of divorce or annulment, the court shall order a division of the estate of the parties in a manner that the court deems just and right, having due regard for the rights of each party and any children of the marriage.”</w:t>
      </w:r>
    </w:p>
    <w:p w14:paraId="58F64BE5" w14:textId="77777777" w:rsidR="005432B9" w:rsidRPr="00B8015B" w:rsidRDefault="00000000">
      <w:pPr>
        <w:pStyle w:val="BodyText"/>
        <w:rPr>
          <w:rFonts w:ascii="Avenir Book" w:hAnsi="Avenir Book"/>
        </w:rPr>
      </w:pPr>
      <w:r w:rsidRPr="00B8015B">
        <w:rPr>
          <w:rFonts w:ascii="Avenir Book" w:hAnsi="Avenir Book"/>
        </w:rPr>
        <w:t xml:space="preserve">The Texas Supreme Court in </w:t>
      </w:r>
      <w:r w:rsidRPr="00B8015B">
        <w:rPr>
          <w:rFonts w:ascii="Avenir Book" w:hAnsi="Avenir Book"/>
          <w:i/>
          <w:iCs/>
        </w:rPr>
        <w:t>Murff v. Murff</w:t>
      </w:r>
      <w:r w:rsidRPr="00B8015B">
        <w:rPr>
          <w:rFonts w:ascii="Avenir Book" w:hAnsi="Avenir Book"/>
        </w:rPr>
        <w:t>, 615 S.W.2d 696 (Tex. 1981), identified the following factors courts may consider: - Spouses’ capacities and abilities - Benefits the not-at-fault party would have derived from continuation of the marriage - Business opportunities - Education - Relative physical conditions - Relative financial condition and obligations - Disparity of ages - Size of separate estates - Nature of the property</w:t>
      </w:r>
    </w:p>
    <w:p w14:paraId="7BCA7950" w14:textId="77777777" w:rsidR="005432B9" w:rsidRPr="00B8015B" w:rsidRDefault="00000000">
      <w:pPr>
        <w:pStyle w:val="Heading3"/>
        <w:rPr>
          <w:rFonts w:ascii="Avenir Book" w:hAnsi="Avenir Book"/>
        </w:rPr>
      </w:pPr>
      <w:bookmarkStart w:id="11" w:name="X41d1b8dd91b150705365d133aabe542e31ec99a"/>
      <w:bookmarkEnd w:id="10"/>
      <w:r w:rsidRPr="00B8015B">
        <w:rPr>
          <w:rFonts w:ascii="Avenir Book" w:hAnsi="Avenir Book"/>
        </w:rPr>
        <w:t>Valuation of QOF Interests with Deferred Tax Liability</w:t>
      </w:r>
    </w:p>
    <w:p w14:paraId="219CEC33" w14:textId="77777777" w:rsidR="005432B9" w:rsidRPr="00B8015B" w:rsidRDefault="00000000">
      <w:pPr>
        <w:pStyle w:val="FirstParagraph"/>
        <w:rPr>
          <w:rFonts w:ascii="Avenir Book" w:hAnsi="Avenir Book"/>
        </w:rPr>
      </w:pPr>
      <w:r w:rsidRPr="00B8015B">
        <w:rPr>
          <w:rFonts w:ascii="Avenir Book" w:hAnsi="Avenir Book"/>
          <w:b/>
          <w:bCs/>
        </w:rPr>
        <w:t>The “Embedded Tax” Problem:</w:t>
      </w:r>
    </w:p>
    <w:p w14:paraId="1C1E16DA" w14:textId="77777777" w:rsidR="005432B9" w:rsidRPr="00B8015B" w:rsidRDefault="00000000">
      <w:pPr>
        <w:pStyle w:val="BodyText"/>
        <w:rPr>
          <w:rFonts w:ascii="Avenir Book" w:hAnsi="Avenir Book"/>
        </w:rPr>
      </w:pPr>
      <w:r w:rsidRPr="00B8015B">
        <w:rPr>
          <w:rFonts w:ascii="Avenir Book" w:hAnsi="Avenir Book"/>
        </w:rPr>
        <w:t xml:space="preserve">A QOF interest carries an embedded deferred tax liability under IRC Section 1400Z-2(b)(1). The deferred gain MUST be recognized no later than December 31, 2026. This creates a </w:t>
      </w:r>
      <w:r w:rsidRPr="00B8015B">
        <w:rPr>
          <w:rFonts w:ascii="Avenir Book" w:hAnsi="Avenir Book"/>
        </w:rPr>
        <w:lastRenderedPageBreak/>
        <w:t>valuation challenge: the gross fair market value of the QOF interest overstates its true economic value because it does not account for the inevitable tax bill.</w:t>
      </w:r>
    </w:p>
    <w:p w14:paraId="495F771F" w14:textId="77777777" w:rsidR="005432B9" w:rsidRPr="00B8015B" w:rsidRDefault="00000000">
      <w:pPr>
        <w:pStyle w:val="BodyText"/>
        <w:rPr>
          <w:rFonts w:ascii="Avenir Book" w:hAnsi="Avenir Book"/>
        </w:rPr>
      </w:pPr>
      <w:r w:rsidRPr="00B8015B">
        <w:rPr>
          <w:rFonts w:ascii="Avenir Book" w:hAnsi="Avenir Book"/>
          <w:b/>
          <w:bCs/>
        </w:rPr>
        <w:t>Valuation approach:</w:t>
      </w:r>
    </w:p>
    <w:p w14:paraId="6E69B680" w14:textId="77777777" w:rsidR="005432B9" w:rsidRPr="00B8015B" w:rsidRDefault="00000000">
      <w:pPr>
        <w:pStyle w:val="BodyText"/>
        <w:rPr>
          <w:rFonts w:ascii="Avenir Book" w:hAnsi="Avenir Book"/>
        </w:rPr>
      </w:pPr>
      <w:r w:rsidRPr="00B8015B">
        <w:rPr>
          <w:rFonts w:ascii="Avenir Book" w:hAnsi="Avenir Book"/>
        </w:rPr>
        <w:t>The “net-of-tax” or “tax-affected” valuation method is the appropriate approach:</w:t>
      </w:r>
    </w:p>
    <w:tbl>
      <w:tblPr>
        <w:tblStyle w:val="Table"/>
        <w:tblW w:w="5000" w:type="pct"/>
        <w:tblLayout w:type="fixed"/>
        <w:tblLook w:val="0020" w:firstRow="1" w:lastRow="0" w:firstColumn="0" w:lastColumn="0" w:noHBand="0" w:noVBand="0"/>
      </w:tblPr>
      <w:tblGrid>
        <w:gridCol w:w="4389"/>
        <w:gridCol w:w="5187"/>
      </w:tblGrid>
      <w:tr w:rsidR="005432B9" w:rsidRPr="00B8015B" w14:paraId="14C12461" w14:textId="77777777" w:rsidTr="005432B9">
        <w:trPr>
          <w:cnfStyle w:val="100000000000" w:firstRow="1" w:lastRow="0" w:firstColumn="0" w:lastColumn="0" w:oddVBand="0" w:evenVBand="0" w:oddHBand="0" w:evenHBand="0" w:firstRowFirstColumn="0" w:firstRowLastColumn="0" w:lastRowFirstColumn="0" w:lastRowLastColumn="0"/>
          <w:tblHeader/>
        </w:trPr>
        <w:tc>
          <w:tcPr>
            <w:tcW w:w="3630" w:type="dxa"/>
          </w:tcPr>
          <w:p w14:paraId="688B4F53" w14:textId="77777777" w:rsidR="005432B9" w:rsidRPr="00B8015B" w:rsidRDefault="00000000">
            <w:pPr>
              <w:pStyle w:val="Compact"/>
              <w:rPr>
                <w:rFonts w:ascii="Avenir Book" w:hAnsi="Avenir Book"/>
              </w:rPr>
            </w:pPr>
            <w:r w:rsidRPr="00B8015B">
              <w:rPr>
                <w:rFonts w:ascii="Avenir Book" w:hAnsi="Avenir Book"/>
              </w:rPr>
              <w:t>Component</w:t>
            </w:r>
          </w:p>
        </w:tc>
        <w:tc>
          <w:tcPr>
            <w:tcW w:w="4290" w:type="dxa"/>
          </w:tcPr>
          <w:p w14:paraId="436F0289" w14:textId="77777777" w:rsidR="005432B9" w:rsidRPr="00B8015B" w:rsidRDefault="00000000">
            <w:pPr>
              <w:pStyle w:val="Compact"/>
              <w:rPr>
                <w:rFonts w:ascii="Avenir Book" w:hAnsi="Avenir Book"/>
              </w:rPr>
            </w:pPr>
            <w:r w:rsidRPr="00B8015B">
              <w:rPr>
                <w:rFonts w:ascii="Avenir Book" w:hAnsi="Avenir Book"/>
              </w:rPr>
              <w:t>Calculation</w:t>
            </w:r>
          </w:p>
        </w:tc>
      </w:tr>
      <w:tr w:rsidR="005432B9" w:rsidRPr="00B8015B" w14:paraId="2EF94D5F" w14:textId="77777777">
        <w:tc>
          <w:tcPr>
            <w:tcW w:w="3630" w:type="dxa"/>
          </w:tcPr>
          <w:p w14:paraId="509D5236" w14:textId="77777777" w:rsidR="005432B9" w:rsidRPr="00B8015B" w:rsidRDefault="00000000">
            <w:pPr>
              <w:pStyle w:val="Compact"/>
              <w:rPr>
                <w:rFonts w:ascii="Avenir Book" w:hAnsi="Avenir Book"/>
              </w:rPr>
            </w:pPr>
            <w:r w:rsidRPr="00B8015B">
              <w:rPr>
                <w:rFonts w:ascii="Avenir Book" w:hAnsi="Avenir Book"/>
              </w:rPr>
              <w:t>Fair Market Value of QOF interest</w:t>
            </w:r>
          </w:p>
        </w:tc>
        <w:tc>
          <w:tcPr>
            <w:tcW w:w="4290" w:type="dxa"/>
          </w:tcPr>
          <w:p w14:paraId="3E67CB91" w14:textId="77777777" w:rsidR="005432B9" w:rsidRPr="00B8015B" w:rsidRDefault="00000000">
            <w:pPr>
              <w:pStyle w:val="Compact"/>
              <w:rPr>
                <w:rFonts w:ascii="Avenir Book" w:hAnsi="Avenir Book"/>
              </w:rPr>
            </w:pPr>
            <m:oMath>
              <m:r>
                <w:rPr>
                  <w:rFonts w:ascii="Cambria Math" w:hAnsi="Cambria Math"/>
                </w:rPr>
                <m:t>X</m:t>
              </m:r>
              <m:r>
                <m:rPr>
                  <m:sty m:val="p"/>
                </m:rPr>
                <w:rPr>
                  <w:rFonts w:ascii="Cambria Math" w:hAnsi="Cambria Math"/>
                </w:rPr>
                <m:t>||</m:t>
              </m:r>
              <m:r>
                <w:rPr>
                  <w:rFonts w:ascii="Cambria Math" w:hAnsi="Cambria Math"/>
                </w:rPr>
                <m:t>Less</m:t>
              </m:r>
              <m:r>
                <m:rPr>
                  <m:sty m:val="p"/>
                </m:rPr>
                <w:rPr>
                  <w:rFonts w:ascii="Cambria Math" w:hAnsi="Cambria Math"/>
                </w:rPr>
                <m:t>:</m:t>
              </m:r>
              <m:r>
                <w:rPr>
                  <w:rFonts w:ascii="Cambria Math" w:hAnsi="Cambria Math"/>
                </w:rPr>
                <m:t>Embeddeddeferredcapitalgain</m:t>
              </m:r>
              <m:r>
                <m:rPr>
                  <m:sty m:val="p"/>
                </m:rPr>
                <w:rPr>
                  <w:rFonts w:ascii="Cambria Math" w:hAnsi="Cambria Math"/>
                </w:rPr>
                <m:t>|(</m:t>
              </m:r>
            </m:oMath>
            <w:r w:rsidRPr="00B8015B">
              <w:rPr>
                <w:rFonts w:ascii="Avenir Book" w:hAnsi="Avenir Book"/>
              </w:rPr>
              <w:t>Y)</w:t>
            </w:r>
          </w:p>
        </w:tc>
      </w:tr>
      <w:tr w:rsidR="005432B9" w:rsidRPr="00B8015B" w14:paraId="01A54C8E" w14:textId="77777777">
        <w:tc>
          <w:tcPr>
            <w:tcW w:w="3630" w:type="dxa"/>
          </w:tcPr>
          <w:p w14:paraId="2D1A0B3B" w14:textId="77777777" w:rsidR="005432B9" w:rsidRPr="00B8015B" w:rsidRDefault="00000000">
            <w:pPr>
              <w:pStyle w:val="Compact"/>
              <w:rPr>
                <w:rFonts w:ascii="Avenir Book" w:hAnsi="Avenir Book"/>
              </w:rPr>
            </w:pPr>
            <w:r w:rsidRPr="00B8015B">
              <w:rPr>
                <w:rFonts w:ascii="Avenir Book" w:hAnsi="Avenir Book"/>
              </w:rPr>
              <w:t>Times: Applicable capital gains tax rate</w:t>
            </w:r>
          </w:p>
        </w:tc>
        <w:tc>
          <w:tcPr>
            <w:tcW w:w="4290" w:type="dxa"/>
          </w:tcPr>
          <w:p w14:paraId="5B2DA87B" w14:textId="77777777" w:rsidR="005432B9" w:rsidRPr="00B8015B" w:rsidRDefault="00000000">
            <w:pPr>
              <w:pStyle w:val="Compact"/>
              <w:rPr>
                <w:rFonts w:ascii="Avenir Book" w:hAnsi="Avenir Book"/>
              </w:rPr>
            </w:pPr>
            <w:r w:rsidRPr="00B8015B">
              <w:rPr>
                <w:rFonts w:ascii="Avenir Book" w:hAnsi="Avenir Book"/>
              </w:rPr>
              <w:t>(x 23.8% federal + 0% Texas state)</w:t>
            </w:r>
          </w:p>
        </w:tc>
      </w:tr>
      <w:tr w:rsidR="005432B9" w:rsidRPr="00B8015B" w14:paraId="7CF5EEEE" w14:textId="77777777">
        <w:tc>
          <w:tcPr>
            <w:tcW w:w="3630" w:type="dxa"/>
          </w:tcPr>
          <w:p w14:paraId="3D769D35" w14:textId="77777777" w:rsidR="005432B9" w:rsidRPr="00B8015B" w:rsidRDefault="00000000">
            <w:pPr>
              <w:pStyle w:val="Compact"/>
              <w:rPr>
                <w:rFonts w:ascii="Avenir Book" w:hAnsi="Avenir Book"/>
              </w:rPr>
            </w:pPr>
            <w:r w:rsidRPr="00B8015B">
              <w:rPr>
                <w:rFonts w:ascii="Avenir Book" w:hAnsi="Avenir Book"/>
              </w:rPr>
              <w:t>Equals: Embedded tax liability</w:t>
            </w:r>
          </w:p>
        </w:tc>
        <w:tc>
          <w:tcPr>
            <w:tcW w:w="4290" w:type="dxa"/>
          </w:tcPr>
          <w:p w14:paraId="0A79C7E2" w14:textId="77777777" w:rsidR="005432B9" w:rsidRPr="00B8015B" w:rsidRDefault="00000000">
            <w:pPr>
              <w:pStyle w:val="Compact"/>
              <w:rPr>
                <w:rFonts w:ascii="Avenir Book" w:hAnsi="Avenir Book"/>
              </w:rPr>
            </w:pPr>
            <w:r w:rsidRPr="00B8015B">
              <w:rPr>
                <w:rFonts w:ascii="Avenir Book" w:hAnsi="Avenir Book"/>
              </w:rPr>
              <w:t>(</w:t>
            </w:r>
            <m:oMath>
              <m:r>
                <w:rPr>
                  <w:rFonts w:ascii="Cambria Math" w:hAnsi="Cambria Math"/>
                </w:rPr>
                <m:t>Z</m:t>
              </m:r>
              <m:r>
                <m:rPr>
                  <m:sty m:val="p"/>
                </m:rPr>
                <w:rPr>
                  <w:rFonts w:ascii="Cambria Math" w:hAnsi="Cambria Math"/>
                </w:rPr>
                <m:t>)||**</m:t>
              </m:r>
              <m:r>
                <w:rPr>
                  <w:rFonts w:ascii="Cambria Math" w:hAnsi="Cambria Math"/>
                </w:rPr>
                <m:t>Netafter</m:t>
              </m:r>
              <m:r>
                <m:rPr>
                  <m:sty m:val="p"/>
                </m:rPr>
                <w:rPr>
                  <w:rFonts w:ascii="Cambria Math" w:hAnsi="Cambria Math"/>
                </w:rPr>
                <m:t>-</m:t>
              </m:r>
              <m:r>
                <w:rPr>
                  <w:rFonts w:ascii="Cambria Math" w:hAnsi="Cambria Math"/>
                </w:rPr>
                <m:t>taxvalue</m:t>
              </m:r>
              <m:r>
                <m:rPr>
                  <m:sty m:val="p"/>
                </m:rPr>
                <w:rPr>
                  <w:rFonts w:ascii="Cambria Math" w:hAnsi="Cambria Math"/>
                </w:rPr>
                <m:t>**|**</m:t>
              </m:r>
            </m:oMath>
            <w:r w:rsidRPr="00B8015B">
              <w:rPr>
                <w:rFonts w:ascii="Avenir Book" w:hAnsi="Avenir Book"/>
              </w:rPr>
              <w:t>X - $Z**</w:t>
            </w:r>
          </w:p>
        </w:tc>
      </w:tr>
    </w:tbl>
    <w:p w14:paraId="01DC2BC2" w14:textId="77777777" w:rsidR="005432B9" w:rsidRPr="00B8015B" w:rsidRDefault="00000000">
      <w:pPr>
        <w:pStyle w:val="BodyText"/>
        <w:rPr>
          <w:rFonts w:ascii="Avenir Book" w:hAnsi="Avenir Book"/>
        </w:rPr>
      </w:pPr>
      <w:r w:rsidRPr="00B8015B">
        <w:rPr>
          <w:rFonts w:ascii="Avenir Book" w:hAnsi="Avenir Book"/>
          <w:b/>
          <w:bCs/>
        </w:rPr>
        <w:t>Texas precedent on embedded tax liabilities:</w:t>
      </w:r>
    </w:p>
    <w:p w14:paraId="7687585D" w14:textId="77777777" w:rsidR="005432B9" w:rsidRPr="00B8015B" w:rsidRDefault="00000000">
      <w:pPr>
        <w:pStyle w:val="BodyText"/>
        <w:rPr>
          <w:rFonts w:ascii="Avenir Book" w:hAnsi="Avenir Book"/>
        </w:rPr>
      </w:pPr>
      <w:r w:rsidRPr="00B8015B">
        <w:rPr>
          <w:rFonts w:ascii="Avenir Book" w:hAnsi="Avenir Book"/>
        </w:rPr>
        <w:t xml:space="preserve">While Texas courts have recognized that assets with different tax characteristics are not equivalent in value (e.g., $100,000 in a pre-tax retirement account is not equivalent to $100,000 in a post-tax brokerage account), there is </w:t>
      </w:r>
      <w:r w:rsidRPr="00B8015B">
        <w:rPr>
          <w:rFonts w:ascii="Avenir Book" w:hAnsi="Avenir Book"/>
          <w:b/>
          <w:bCs/>
        </w:rPr>
        <w:t>no bright-line Texas appellate rule</w:t>
      </w:r>
      <w:r w:rsidRPr="00B8015B">
        <w:rPr>
          <w:rFonts w:ascii="Avenir Book" w:hAnsi="Avenir Book"/>
        </w:rPr>
        <w:t xml:space="preserve"> mandating tax-affected valuation. The court’s broad “just and right” discretion under TFC Section 7.001 allows consideration of embedded tax consequences as one factor among many, as recognized in </w:t>
      </w:r>
      <w:r w:rsidRPr="00B8015B">
        <w:rPr>
          <w:rFonts w:ascii="Avenir Book" w:hAnsi="Avenir Book"/>
          <w:i/>
          <w:iCs/>
        </w:rPr>
        <w:t>Murff</w:t>
      </w:r>
      <w:r w:rsidRPr="00B8015B">
        <w:rPr>
          <w:rFonts w:ascii="Avenir Book" w:hAnsi="Avenir Book"/>
        </w:rPr>
        <w:t>.</w:t>
      </w:r>
    </w:p>
    <w:p w14:paraId="4155CC0B" w14:textId="77777777" w:rsidR="005432B9" w:rsidRPr="00B8015B" w:rsidRDefault="00000000">
      <w:pPr>
        <w:pStyle w:val="BodyText"/>
        <w:rPr>
          <w:rFonts w:ascii="Avenir Book" w:hAnsi="Avenir Book"/>
        </w:rPr>
      </w:pPr>
      <w:r w:rsidRPr="00B8015B">
        <w:rPr>
          <w:rFonts w:ascii="Avenir Book" w:hAnsi="Avenir Book"/>
          <w:b/>
          <w:bCs/>
        </w:rPr>
        <w:t>Practical approach:</w:t>
      </w:r>
      <w:r w:rsidRPr="00B8015B">
        <w:rPr>
          <w:rFonts w:ascii="Avenir Book" w:hAnsi="Avenir Book"/>
        </w:rPr>
        <w:t xml:space="preserve"> The court should value the QOF interest at its </w:t>
      </w:r>
      <w:r w:rsidRPr="00B8015B">
        <w:rPr>
          <w:rFonts w:ascii="Avenir Book" w:hAnsi="Avenir Book"/>
          <w:b/>
          <w:bCs/>
        </w:rPr>
        <w:t>fair market value reduced by the present value of the deferred tax liability</w:t>
      </w:r>
      <w:r w:rsidRPr="00B8015B">
        <w:rPr>
          <w:rFonts w:ascii="Avenir Book" w:hAnsi="Avenir Book"/>
        </w:rPr>
        <w:t>, with the discount rate reflecting the certainty of the tax event (which, given the December 31, 2026 hard deadline, is essentially 100% certain).</w:t>
      </w:r>
    </w:p>
    <w:p w14:paraId="13818DC0" w14:textId="77777777" w:rsidR="005432B9" w:rsidRPr="00B8015B" w:rsidRDefault="00000000">
      <w:pPr>
        <w:pStyle w:val="Heading3"/>
        <w:rPr>
          <w:rFonts w:ascii="Avenir Book" w:hAnsi="Avenir Book"/>
        </w:rPr>
      </w:pPr>
      <w:bookmarkStart w:id="12" w:name="court-ordered-sale-of-qof-interest"/>
      <w:bookmarkEnd w:id="11"/>
      <w:r w:rsidRPr="00B8015B">
        <w:rPr>
          <w:rFonts w:ascii="Avenir Book" w:hAnsi="Avenir Book"/>
        </w:rPr>
        <w:t>Court-Ordered Sale of QOF Interest</w:t>
      </w:r>
    </w:p>
    <w:p w14:paraId="6C27CABA" w14:textId="77777777" w:rsidR="005432B9" w:rsidRPr="00B8015B" w:rsidRDefault="00000000">
      <w:pPr>
        <w:pStyle w:val="FirstParagraph"/>
        <w:rPr>
          <w:rFonts w:ascii="Avenir Book" w:hAnsi="Avenir Book"/>
        </w:rPr>
      </w:pPr>
      <w:r w:rsidRPr="00B8015B">
        <w:rPr>
          <w:rFonts w:ascii="Avenir Book" w:hAnsi="Avenir Book"/>
          <w:b/>
          <w:bCs/>
        </w:rPr>
        <w:t>Can the court order a sale?</w:t>
      </w:r>
    </w:p>
    <w:p w14:paraId="4D992274" w14:textId="77777777" w:rsidR="005432B9" w:rsidRPr="00B8015B" w:rsidRDefault="00000000">
      <w:pPr>
        <w:pStyle w:val="BodyText"/>
        <w:rPr>
          <w:rFonts w:ascii="Avenir Book" w:hAnsi="Avenir Book"/>
        </w:rPr>
      </w:pPr>
      <w:r w:rsidRPr="00B8015B">
        <w:rPr>
          <w:rFonts w:ascii="Avenir Book" w:hAnsi="Avenir Book"/>
        </w:rPr>
        <w:t>Yes. Under TFC Section 7.001, the court has broad discretion to order the sale of community property as part of a just and right division. However, ordering the sale of a QOF interest raises critical issues:</w:t>
      </w:r>
    </w:p>
    <w:p w14:paraId="06CB90BD" w14:textId="77777777" w:rsidR="005432B9" w:rsidRPr="00B8015B" w:rsidRDefault="00000000">
      <w:pPr>
        <w:pStyle w:val="Compact"/>
        <w:numPr>
          <w:ilvl w:val="0"/>
          <w:numId w:val="6"/>
        </w:numPr>
        <w:rPr>
          <w:rFonts w:ascii="Avenir Book" w:hAnsi="Avenir Book"/>
        </w:rPr>
      </w:pPr>
      <w:r w:rsidRPr="00B8015B">
        <w:rPr>
          <w:rFonts w:ascii="Avenir Book" w:hAnsi="Avenir Book"/>
          <w:b/>
          <w:bCs/>
        </w:rPr>
        <w:t>Triggering the inclusion event</w:t>
      </w:r>
      <w:r w:rsidRPr="00B8015B">
        <w:rPr>
          <w:rFonts w:ascii="Avenir Book" w:hAnsi="Avenir Book"/>
        </w:rPr>
        <w:t>: Sale of the QOF interest is an “inclusion event” under Treas. Reg. Section 1.1400Z2(b)-1(c), triggering immediate recognition of the full deferred gain</w:t>
      </w:r>
    </w:p>
    <w:p w14:paraId="4A7C58E8" w14:textId="77777777" w:rsidR="005432B9" w:rsidRPr="00B8015B" w:rsidRDefault="00000000">
      <w:pPr>
        <w:pStyle w:val="Compact"/>
        <w:numPr>
          <w:ilvl w:val="0"/>
          <w:numId w:val="6"/>
        </w:numPr>
        <w:rPr>
          <w:rFonts w:ascii="Avenir Book" w:hAnsi="Avenir Book"/>
        </w:rPr>
      </w:pPr>
      <w:r w:rsidRPr="00B8015B">
        <w:rPr>
          <w:rFonts w:ascii="Avenir Book" w:hAnsi="Avenir Book"/>
          <w:b/>
          <w:bCs/>
        </w:rPr>
        <w:t>Loss of QOZ benefits</w:t>
      </w:r>
      <w:r w:rsidRPr="00B8015B">
        <w:rPr>
          <w:rFonts w:ascii="Avenir Book" w:hAnsi="Avenir Book"/>
        </w:rPr>
        <w:t>: If the QOF has been held for 10+ years, the investor may be entitled to a permanent exclusion of gain on the QOZ investment’s post-acquisition appreciation under IRC Section 1400Z-2(c). A forced sale destroys this benefit</w:t>
      </w:r>
    </w:p>
    <w:p w14:paraId="1F6BA99B" w14:textId="77777777" w:rsidR="005432B9" w:rsidRPr="00B8015B" w:rsidRDefault="00000000">
      <w:pPr>
        <w:pStyle w:val="Compact"/>
        <w:numPr>
          <w:ilvl w:val="0"/>
          <w:numId w:val="6"/>
        </w:numPr>
        <w:rPr>
          <w:rFonts w:ascii="Avenir Book" w:hAnsi="Avenir Book"/>
        </w:rPr>
      </w:pPr>
      <w:r w:rsidRPr="00B8015B">
        <w:rPr>
          <w:rFonts w:ascii="Avenir Book" w:hAnsi="Avenir Book"/>
          <w:b/>
          <w:bCs/>
        </w:rPr>
        <w:t>Liquidity concerns</w:t>
      </w:r>
      <w:r w:rsidRPr="00B8015B">
        <w:rPr>
          <w:rFonts w:ascii="Avenir Book" w:hAnsi="Avenir Book"/>
        </w:rPr>
        <w:t>: QOF interests are often illiquid, and forced sale may result in below-market pricing</w:t>
      </w:r>
    </w:p>
    <w:p w14:paraId="00565350" w14:textId="77777777" w:rsidR="005432B9" w:rsidRPr="00B8015B" w:rsidRDefault="00000000">
      <w:pPr>
        <w:pStyle w:val="Compact"/>
        <w:numPr>
          <w:ilvl w:val="0"/>
          <w:numId w:val="6"/>
        </w:numPr>
        <w:rPr>
          <w:rFonts w:ascii="Avenir Book" w:hAnsi="Avenir Book"/>
        </w:rPr>
      </w:pPr>
      <w:r w:rsidRPr="00B8015B">
        <w:rPr>
          <w:rFonts w:ascii="Avenir Book" w:hAnsi="Avenir Book"/>
          <w:b/>
          <w:bCs/>
        </w:rPr>
        <w:t>Tax cost allocation</w:t>
      </w:r>
      <w:r w:rsidRPr="00B8015B">
        <w:rPr>
          <w:rFonts w:ascii="Avenir Book" w:hAnsi="Avenir Book"/>
        </w:rPr>
        <w:t>: The court must determine who bears the accelerated tax cost</w:t>
      </w:r>
    </w:p>
    <w:p w14:paraId="0AC6D9CA" w14:textId="77777777" w:rsidR="005432B9" w:rsidRPr="00B8015B" w:rsidRDefault="00000000">
      <w:pPr>
        <w:pStyle w:val="FirstParagraph"/>
        <w:rPr>
          <w:rFonts w:ascii="Avenir Book" w:hAnsi="Avenir Book"/>
        </w:rPr>
      </w:pPr>
      <w:r w:rsidRPr="00B8015B">
        <w:rPr>
          <w:rFonts w:ascii="Avenir Book" w:hAnsi="Avenir Book"/>
          <w:b/>
          <w:bCs/>
        </w:rPr>
        <w:lastRenderedPageBreak/>
        <w:t>Recommendation:</w:t>
      </w:r>
      <w:r w:rsidRPr="00B8015B">
        <w:rPr>
          <w:rFonts w:ascii="Avenir Book" w:hAnsi="Avenir Book"/>
        </w:rPr>
        <w:t xml:space="preserve"> The court should avoid ordering sale of a QOF interest if possible. Alternative approaches include awarding the QOF interest to one spouse with an offsetting award of other assets, with the tax liability factored into the valuation offset.</w:t>
      </w:r>
    </w:p>
    <w:p w14:paraId="099DD6EE" w14:textId="77777777" w:rsidR="005432B9" w:rsidRPr="00B8015B" w:rsidRDefault="00000000">
      <w:pPr>
        <w:pStyle w:val="Heading3"/>
        <w:rPr>
          <w:rFonts w:ascii="Avenir Book" w:hAnsi="Avenir Book"/>
        </w:rPr>
      </w:pPr>
      <w:bookmarkStart w:id="13" w:name="tax-cost-allocation-on-forced-sale"/>
      <w:bookmarkEnd w:id="12"/>
      <w:r w:rsidRPr="00B8015B">
        <w:rPr>
          <w:rFonts w:ascii="Avenir Book" w:hAnsi="Avenir Book"/>
        </w:rPr>
        <w:t>Tax Cost Allocation on Forced Sale</w:t>
      </w:r>
    </w:p>
    <w:p w14:paraId="074B2153" w14:textId="77777777" w:rsidR="005432B9" w:rsidRPr="00B8015B" w:rsidRDefault="00000000">
      <w:pPr>
        <w:pStyle w:val="FirstParagraph"/>
        <w:rPr>
          <w:rFonts w:ascii="Avenir Book" w:hAnsi="Avenir Book"/>
        </w:rPr>
      </w:pPr>
      <w:r w:rsidRPr="00B8015B">
        <w:rPr>
          <w:rFonts w:ascii="Avenir Book" w:hAnsi="Avenir Book"/>
        </w:rPr>
        <w:t>If the court does order a sale, the tax cost should be allocated as follows:</w:t>
      </w:r>
    </w:p>
    <w:p w14:paraId="684A3290" w14:textId="77777777" w:rsidR="005432B9" w:rsidRPr="00B8015B" w:rsidRDefault="00000000">
      <w:pPr>
        <w:pStyle w:val="Compact"/>
        <w:numPr>
          <w:ilvl w:val="0"/>
          <w:numId w:val="7"/>
        </w:numPr>
        <w:rPr>
          <w:rFonts w:ascii="Avenir Book" w:hAnsi="Avenir Book"/>
        </w:rPr>
      </w:pPr>
      <w:r w:rsidRPr="00B8015B">
        <w:rPr>
          <w:rFonts w:ascii="Avenir Book" w:hAnsi="Avenir Book"/>
        </w:rPr>
        <w:t xml:space="preserve">The deferred gain is the </w:t>
      </w:r>
      <w:r w:rsidRPr="00B8015B">
        <w:rPr>
          <w:rFonts w:ascii="Avenir Book" w:hAnsi="Avenir Book"/>
          <w:b/>
          <w:bCs/>
        </w:rPr>
        <w:t>transferor’s</w:t>
      </w:r>
      <w:r w:rsidRPr="00B8015B">
        <w:rPr>
          <w:rFonts w:ascii="Avenir Book" w:hAnsi="Avenir Book"/>
        </w:rPr>
        <w:t xml:space="preserve"> economic obligation (it arose from the transferor’s deferral election)</w:t>
      </w:r>
    </w:p>
    <w:p w14:paraId="0182A735" w14:textId="77777777" w:rsidR="005432B9" w:rsidRPr="00B8015B" w:rsidRDefault="00000000">
      <w:pPr>
        <w:pStyle w:val="Compact"/>
        <w:numPr>
          <w:ilvl w:val="0"/>
          <w:numId w:val="7"/>
        </w:numPr>
        <w:rPr>
          <w:rFonts w:ascii="Avenir Book" w:hAnsi="Avenir Book"/>
        </w:rPr>
      </w:pPr>
      <w:r w:rsidRPr="00B8015B">
        <w:rPr>
          <w:rFonts w:ascii="Avenir Book" w:hAnsi="Avenir Book"/>
        </w:rPr>
        <w:t>Under “just and right” principles, the court may allocate the tax burden to the spouse who made the deferral election and who has the economic benefit of the QOF investment</w:t>
      </w:r>
    </w:p>
    <w:p w14:paraId="0C554BD6" w14:textId="77777777" w:rsidR="005432B9" w:rsidRPr="00B8015B" w:rsidRDefault="00000000">
      <w:pPr>
        <w:pStyle w:val="Compact"/>
        <w:numPr>
          <w:ilvl w:val="0"/>
          <w:numId w:val="7"/>
        </w:numPr>
        <w:rPr>
          <w:rFonts w:ascii="Avenir Book" w:hAnsi="Avenir Book"/>
        </w:rPr>
      </w:pPr>
      <w:r w:rsidRPr="00B8015B">
        <w:rPr>
          <w:rFonts w:ascii="Avenir Book" w:hAnsi="Avenir Book"/>
        </w:rPr>
        <w:t>The decree should specify that the selling spouse is responsible for all tax consequences arising from the sale, with an indemnification provision protecting the other spouse</w:t>
      </w:r>
    </w:p>
    <w:p w14:paraId="3F4B1155" w14:textId="77777777" w:rsidR="005432B9" w:rsidRPr="00B8015B" w:rsidRDefault="00286CC4">
      <w:pPr>
        <w:rPr>
          <w:rFonts w:ascii="Avenir Book" w:hAnsi="Avenir Book"/>
        </w:rPr>
      </w:pPr>
      <w:r w:rsidRPr="00286CC4">
        <w:rPr>
          <w:rFonts w:ascii="Avenir Book" w:hAnsi="Avenir Book"/>
          <w:noProof/>
        </w:rPr>
        <w:pict w14:anchorId="6D63F052">
          <v:rect id="_x0000_i1037" alt="" style="width:468pt;height:.05pt;mso-width-percent:0;mso-height-percent:0;mso-width-percent:0;mso-height-percent:0" o:hralign="center" o:hrstd="t" o:hr="t"/>
        </w:pict>
      </w:r>
    </w:p>
    <w:p w14:paraId="3DE4BEE3" w14:textId="77777777" w:rsidR="005432B9" w:rsidRPr="00B8015B" w:rsidRDefault="00000000">
      <w:pPr>
        <w:pStyle w:val="Heading2"/>
        <w:rPr>
          <w:rFonts w:ascii="Avenir Book" w:hAnsi="Avenir Book"/>
        </w:rPr>
      </w:pPr>
      <w:bookmarkStart w:id="14" w:name="tax-allocation-in-texas-divorce"/>
      <w:bookmarkEnd w:id="9"/>
      <w:bookmarkEnd w:id="13"/>
      <w:r w:rsidRPr="00B8015B">
        <w:rPr>
          <w:rFonts w:ascii="Avenir Book" w:hAnsi="Avenir Book"/>
        </w:rPr>
        <w:t>3. Tax Allocation in Texas Divorce</w:t>
      </w:r>
    </w:p>
    <w:p w14:paraId="0B7BD3E6" w14:textId="77777777" w:rsidR="005432B9" w:rsidRPr="00B8015B" w:rsidRDefault="00000000">
      <w:pPr>
        <w:pStyle w:val="Heading3"/>
        <w:rPr>
          <w:rFonts w:ascii="Avenir Book" w:hAnsi="Avenir Book"/>
        </w:rPr>
      </w:pPr>
      <w:bookmarkStart w:id="15" w:name="X079dfadbe5a6436d79cadadf635b656cc2b893d"/>
      <w:r w:rsidRPr="00B8015B">
        <w:rPr>
          <w:rFonts w:ascii="Avenir Book" w:hAnsi="Avenir Book"/>
        </w:rPr>
        <w:t>How Texas Courts Handle Tax Liabilities in Property Division</w:t>
      </w:r>
    </w:p>
    <w:p w14:paraId="287CD255" w14:textId="77777777" w:rsidR="005432B9" w:rsidRPr="00B8015B" w:rsidRDefault="00000000">
      <w:pPr>
        <w:pStyle w:val="FirstParagraph"/>
        <w:rPr>
          <w:rFonts w:ascii="Avenir Book" w:hAnsi="Avenir Book"/>
        </w:rPr>
      </w:pPr>
      <w:r w:rsidRPr="00B8015B">
        <w:rPr>
          <w:rFonts w:ascii="Avenir Book" w:hAnsi="Avenir Book"/>
        </w:rPr>
        <w:t>Texas courts have broad discretion to consider tax consequences in property division under the “just and right” standard. Key principles:</w:t>
      </w:r>
    </w:p>
    <w:p w14:paraId="579DCE0F" w14:textId="77777777" w:rsidR="005432B9" w:rsidRPr="00B8015B" w:rsidRDefault="00000000">
      <w:pPr>
        <w:pStyle w:val="Compact"/>
        <w:numPr>
          <w:ilvl w:val="0"/>
          <w:numId w:val="8"/>
        </w:numPr>
        <w:rPr>
          <w:rFonts w:ascii="Avenir Book" w:hAnsi="Avenir Book"/>
        </w:rPr>
      </w:pPr>
      <w:r w:rsidRPr="00B8015B">
        <w:rPr>
          <w:rFonts w:ascii="Avenir Book" w:hAnsi="Avenir Book"/>
          <w:b/>
          <w:bCs/>
        </w:rPr>
        <w:t>Tax consequences are a recognized factor</w:t>
      </w:r>
      <w:r w:rsidRPr="00B8015B">
        <w:rPr>
          <w:rFonts w:ascii="Avenir Book" w:hAnsi="Avenir Book"/>
        </w:rPr>
        <w:t>: Courts routinely consider the tax implications of awarding specific assets to specific spouses</w:t>
      </w:r>
    </w:p>
    <w:p w14:paraId="5BF704B7" w14:textId="77777777" w:rsidR="005432B9" w:rsidRPr="00B8015B" w:rsidRDefault="00000000">
      <w:pPr>
        <w:pStyle w:val="Compact"/>
        <w:numPr>
          <w:ilvl w:val="0"/>
          <w:numId w:val="8"/>
        </w:numPr>
        <w:rPr>
          <w:rFonts w:ascii="Avenir Book" w:hAnsi="Avenir Book"/>
        </w:rPr>
      </w:pPr>
      <w:r w:rsidRPr="00B8015B">
        <w:rPr>
          <w:rFonts w:ascii="Avenir Book" w:hAnsi="Avenir Book"/>
          <w:b/>
          <w:bCs/>
        </w:rPr>
        <w:t>Different assets have different after-tax values</w:t>
      </w:r>
      <w:r w:rsidRPr="00B8015B">
        <w:rPr>
          <w:rFonts w:ascii="Avenir Book" w:hAnsi="Avenir Book"/>
        </w:rPr>
        <w:t>: A pre-tax retirement account dollar is not equivalent to a post-tax brokerage dollar</w:t>
      </w:r>
    </w:p>
    <w:p w14:paraId="2E7CD692" w14:textId="77777777" w:rsidR="005432B9" w:rsidRPr="00B8015B" w:rsidRDefault="00000000">
      <w:pPr>
        <w:pStyle w:val="Compact"/>
        <w:numPr>
          <w:ilvl w:val="0"/>
          <w:numId w:val="8"/>
        </w:numPr>
        <w:rPr>
          <w:rFonts w:ascii="Avenir Book" w:hAnsi="Avenir Book"/>
        </w:rPr>
      </w:pPr>
      <w:r w:rsidRPr="00B8015B">
        <w:rPr>
          <w:rFonts w:ascii="Avenir Book" w:hAnsi="Avenir Book"/>
          <w:b/>
          <w:bCs/>
        </w:rPr>
        <w:t>Future tax liabilities can be allocated</w:t>
      </w:r>
      <w:r w:rsidRPr="00B8015B">
        <w:rPr>
          <w:rFonts w:ascii="Avenir Book" w:hAnsi="Avenir Book"/>
        </w:rPr>
        <w:t>: The court can assign responsibility for known future tax obligations to one spouse</w:t>
      </w:r>
    </w:p>
    <w:p w14:paraId="06405CB5" w14:textId="77777777" w:rsidR="005432B9" w:rsidRPr="00B8015B" w:rsidRDefault="00000000">
      <w:pPr>
        <w:pStyle w:val="Heading3"/>
        <w:rPr>
          <w:rFonts w:ascii="Avenir Book" w:hAnsi="Avenir Book"/>
        </w:rPr>
      </w:pPr>
      <w:bookmarkStart w:id="16" w:name="Xfd12ad6b16c59cddf3a55350f95eaefc3d1d482"/>
      <w:bookmarkEnd w:id="15"/>
      <w:r w:rsidRPr="00B8015B">
        <w:rPr>
          <w:rFonts w:ascii="Avenir Book" w:hAnsi="Avenir Book"/>
        </w:rPr>
        <w:t>Is the Deferred QOZ Gain a “Liability” for Division Purposes?</w:t>
      </w:r>
    </w:p>
    <w:p w14:paraId="6E315209" w14:textId="77777777" w:rsidR="005432B9" w:rsidRPr="00B8015B" w:rsidRDefault="00000000">
      <w:pPr>
        <w:pStyle w:val="FirstParagraph"/>
        <w:rPr>
          <w:rFonts w:ascii="Avenir Book" w:hAnsi="Avenir Book"/>
        </w:rPr>
      </w:pPr>
      <w:r w:rsidRPr="00B8015B">
        <w:rPr>
          <w:rFonts w:ascii="Avenir Book" w:hAnsi="Avenir Book"/>
          <w:b/>
          <w:bCs/>
        </w:rPr>
        <w:t>Yes, functionally.</w:t>
      </w:r>
      <w:r w:rsidRPr="00B8015B">
        <w:rPr>
          <w:rFonts w:ascii="Avenir Book" w:hAnsi="Avenir Book"/>
        </w:rPr>
        <w:t xml:space="preserve"> The deferred QOZ gain creates a known, quantifiable future tax obligation. Under IRC Section 1400Z-2(b)(1), the gain MUST be recognized by December 31, 2026. This is not a contingent or speculative liability – it is a </w:t>
      </w:r>
      <w:r w:rsidRPr="00B8015B">
        <w:rPr>
          <w:rFonts w:ascii="Avenir Book" w:hAnsi="Avenir Book"/>
          <w:b/>
          <w:bCs/>
        </w:rPr>
        <w:t>certainty</w:t>
      </w:r>
      <w:r w:rsidRPr="00B8015B">
        <w:rPr>
          <w:rFonts w:ascii="Avenir Book" w:hAnsi="Avenir Book"/>
        </w:rPr>
        <w:t>.</w:t>
      </w:r>
    </w:p>
    <w:p w14:paraId="75250BA4" w14:textId="77777777" w:rsidR="005432B9" w:rsidRPr="00B8015B" w:rsidRDefault="00000000">
      <w:pPr>
        <w:pStyle w:val="BodyText"/>
        <w:rPr>
          <w:rFonts w:ascii="Avenir Book" w:hAnsi="Avenir Book"/>
        </w:rPr>
      </w:pPr>
      <w:r w:rsidRPr="00B8015B">
        <w:rPr>
          <w:rFonts w:ascii="Avenir Book" w:hAnsi="Avenir Book"/>
          <w:b/>
          <w:bCs/>
        </w:rPr>
        <w:t>Treatment in division:</w:t>
      </w:r>
    </w:p>
    <w:tbl>
      <w:tblPr>
        <w:tblStyle w:val="Table"/>
        <w:tblW w:w="5000" w:type="pct"/>
        <w:tblLayout w:type="fixed"/>
        <w:tblLook w:val="0020" w:firstRow="1" w:lastRow="0" w:firstColumn="0" w:lastColumn="0" w:noHBand="0" w:noVBand="0"/>
      </w:tblPr>
      <w:tblGrid>
        <w:gridCol w:w="5320"/>
        <w:gridCol w:w="4256"/>
      </w:tblGrid>
      <w:tr w:rsidR="005432B9" w:rsidRPr="00B8015B" w14:paraId="61D61E3E" w14:textId="77777777" w:rsidTr="005432B9">
        <w:trPr>
          <w:cnfStyle w:val="100000000000" w:firstRow="1" w:lastRow="0" w:firstColumn="0" w:lastColumn="0" w:oddVBand="0" w:evenVBand="0" w:oddHBand="0" w:evenHBand="0" w:firstRowFirstColumn="0" w:firstRowLastColumn="0" w:lastRowFirstColumn="0" w:lastRowLastColumn="0"/>
          <w:tblHeader/>
        </w:trPr>
        <w:tc>
          <w:tcPr>
            <w:tcW w:w="4400" w:type="dxa"/>
          </w:tcPr>
          <w:p w14:paraId="293C93D5" w14:textId="77777777" w:rsidR="005432B9" w:rsidRPr="00B8015B" w:rsidRDefault="00000000">
            <w:pPr>
              <w:pStyle w:val="Compact"/>
              <w:rPr>
                <w:rFonts w:ascii="Avenir Book" w:hAnsi="Avenir Book"/>
              </w:rPr>
            </w:pPr>
            <w:r w:rsidRPr="00B8015B">
              <w:rPr>
                <w:rFonts w:ascii="Avenir Book" w:hAnsi="Avenir Book"/>
              </w:rPr>
              <w:t>Approach</w:t>
            </w:r>
          </w:p>
        </w:tc>
        <w:tc>
          <w:tcPr>
            <w:tcW w:w="3520" w:type="dxa"/>
          </w:tcPr>
          <w:p w14:paraId="14001298" w14:textId="77777777" w:rsidR="005432B9" w:rsidRPr="00B8015B" w:rsidRDefault="00000000">
            <w:pPr>
              <w:pStyle w:val="Compact"/>
              <w:rPr>
                <w:rFonts w:ascii="Avenir Book" w:hAnsi="Avenir Book"/>
              </w:rPr>
            </w:pPr>
            <w:r w:rsidRPr="00B8015B">
              <w:rPr>
                <w:rFonts w:ascii="Avenir Book" w:hAnsi="Avenir Book"/>
              </w:rPr>
              <w:t>Method</w:t>
            </w:r>
          </w:p>
        </w:tc>
      </w:tr>
      <w:tr w:rsidR="005432B9" w:rsidRPr="00B8015B" w14:paraId="0E633839" w14:textId="77777777">
        <w:tc>
          <w:tcPr>
            <w:tcW w:w="4400" w:type="dxa"/>
          </w:tcPr>
          <w:p w14:paraId="6E53263C" w14:textId="77777777" w:rsidR="005432B9" w:rsidRPr="00B8015B" w:rsidRDefault="00000000">
            <w:pPr>
              <w:pStyle w:val="Compact"/>
              <w:rPr>
                <w:rFonts w:ascii="Avenir Book" w:hAnsi="Avenir Book"/>
              </w:rPr>
            </w:pPr>
            <w:r w:rsidRPr="00B8015B">
              <w:rPr>
                <w:rFonts w:ascii="Avenir Book" w:hAnsi="Avenir Book"/>
                <w:b/>
                <w:bCs/>
              </w:rPr>
              <w:t>Asset offset</w:t>
            </w:r>
          </w:p>
        </w:tc>
        <w:tc>
          <w:tcPr>
            <w:tcW w:w="3520" w:type="dxa"/>
          </w:tcPr>
          <w:p w14:paraId="06EEB35A" w14:textId="77777777" w:rsidR="005432B9" w:rsidRPr="00B8015B" w:rsidRDefault="00000000">
            <w:pPr>
              <w:pStyle w:val="Compact"/>
              <w:rPr>
                <w:rFonts w:ascii="Avenir Book" w:hAnsi="Avenir Book"/>
              </w:rPr>
            </w:pPr>
            <w:r w:rsidRPr="00B8015B">
              <w:rPr>
                <w:rFonts w:ascii="Avenir Book" w:hAnsi="Avenir Book"/>
              </w:rPr>
              <w:t>Reduce the value of the QOF interest by the embedded tax liability</w:t>
            </w:r>
          </w:p>
        </w:tc>
      </w:tr>
      <w:tr w:rsidR="005432B9" w:rsidRPr="00B8015B" w14:paraId="58A8124C" w14:textId="77777777">
        <w:tc>
          <w:tcPr>
            <w:tcW w:w="4400" w:type="dxa"/>
          </w:tcPr>
          <w:p w14:paraId="0F70A2D9" w14:textId="77777777" w:rsidR="005432B9" w:rsidRPr="00B8015B" w:rsidRDefault="00000000">
            <w:pPr>
              <w:pStyle w:val="Compact"/>
              <w:rPr>
                <w:rFonts w:ascii="Avenir Book" w:hAnsi="Avenir Book"/>
              </w:rPr>
            </w:pPr>
            <w:r w:rsidRPr="00B8015B">
              <w:rPr>
                <w:rFonts w:ascii="Avenir Book" w:hAnsi="Avenir Book"/>
                <w:b/>
                <w:bCs/>
              </w:rPr>
              <w:t>Liability allocation</w:t>
            </w:r>
          </w:p>
        </w:tc>
        <w:tc>
          <w:tcPr>
            <w:tcW w:w="3520" w:type="dxa"/>
          </w:tcPr>
          <w:p w14:paraId="6F2424E3" w14:textId="77777777" w:rsidR="005432B9" w:rsidRPr="00B8015B" w:rsidRDefault="00000000">
            <w:pPr>
              <w:pStyle w:val="Compact"/>
              <w:rPr>
                <w:rFonts w:ascii="Avenir Book" w:hAnsi="Avenir Book"/>
              </w:rPr>
            </w:pPr>
            <w:r w:rsidRPr="00B8015B">
              <w:rPr>
                <w:rFonts w:ascii="Avenir Book" w:hAnsi="Avenir Book"/>
              </w:rPr>
              <w:t>Assign the tax liability to the spouse receiving the QOF interest</w:t>
            </w:r>
          </w:p>
        </w:tc>
      </w:tr>
      <w:tr w:rsidR="005432B9" w:rsidRPr="00B8015B" w14:paraId="2555ADB5" w14:textId="77777777">
        <w:tc>
          <w:tcPr>
            <w:tcW w:w="4400" w:type="dxa"/>
          </w:tcPr>
          <w:p w14:paraId="42D2D4C9" w14:textId="77777777" w:rsidR="005432B9" w:rsidRPr="00B8015B" w:rsidRDefault="00000000">
            <w:pPr>
              <w:pStyle w:val="Compact"/>
              <w:rPr>
                <w:rFonts w:ascii="Avenir Book" w:hAnsi="Avenir Book"/>
              </w:rPr>
            </w:pPr>
            <w:r w:rsidRPr="00B8015B">
              <w:rPr>
                <w:rFonts w:ascii="Avenir Book" w:hAnsi="Avenir Book"/>
                <w:b/>
                <w:bCs/>
              </w:rPr>
              <w:lastRenderedPageBreak/>
              <w:t>Equalizing payment</w:t>
            </w:r>
          </w:p>
        </w:tc>
        <w:tc>
          <w:tcPr>
            <w:tcW w:w="3520" w:type="dxa"/>
          </w:tcPr>
          <w:p w14:paraId="2D3A016E" w14:textId="77777777" w:rsidR="005432B9" w:rsidRPr="00B8015B" w:rsidRDefault="00000000">
            <w:pPr>
              <w:pStyle w:val="Compact"/>
              <w:rPr>
                <w:rFonts w:ascii="Avenir Book" w:hAnsi="Avenir Book"/>
              </w:rPr>
            </w:pPr>
            <w:r w:rsidRPr="00B8015B">
              <w:rPr>
                <w:rFonts w:ascii="Avenir Book" w:hAnsi="Avenir Book"/>
              </w:rPr>
              <w:t>Award the QOF interest to one spouse; require an equalizing payment that accounts for the net-of-tax value</w:t>
            </w:r>
          </w:p>
        </w:tc>
      </w:tr>
    </w:tbl>
    <w:p w14:paraId="62F5BCF0" w14:textId="77777777" w:rsidR="005432B9" w:rsidRPr="00B8015B" w:rsidRDefault="00000000">
      <w:pPr>
        <w:pStyle w:val="Heading3"/>
        <w:rPr>
          <w:rFonts w:ascii="Avenir Book" w:hAnsi="Avenir Book"/>
        </w:rPr>
      </w:pPr>
      <w:bookmarkStart w:id="17" w:name="X6e7e6ff5a7ff05ff9e78df4894959b4bdfa549e"/>
      <w:bookmarkEnd w:id="16"/>
      <w:r w:rsidRPr="00B8015B">
        <w:rPr>
          <w:rFonts w:ascii="Avenir Book" w:hAnsi="Avenir Book"/>
        </w:rPr>
        <w:t>Decree Allocation of Future Tax Liability</w:t>
      </w:r>
    </w:p>
    <w:p w14:paraId="085E2845" w14:textId="77777777" w:rsidR="005432B9" w:rsidRPr="00B8015B" w:rsidRDefault="00000000">
      <w:pPr>
        <w:pStyle w:val="FirstParagraph"/>
        <w:rPr>
          <w:rFonts w:ascii="Avenir Book" w:hAnsi="Avenir Book"/>
        </w:rPr>
      </w:pPr>
      <w:r w:rsidRPr="00B8015B">
        <w:rPr>
          <w:rFonts w:ascii="Avenir Book" w:hAnsi="Avenir Book"/>
        </w:rPr>
        <w:t xml:space="preserve">The divorce decree </w:t>
      </w:r>
      <w:r w:rsidRPr="00B8015B">
        <w:rPr>
          <w:rFonts w:ascii="Avenir Book" w:hAnsi="Avenir Book"/>
          <w:b/>
          <w:bCs/>
        </w:rPr>
        <w:t>can and should</w:t>
      </w:r>
      <w:r w:rsidRPr="00B8015B">
        <w:rPr>
          <w:rFonts w:ascii="Avenir Book" w:hAnsi="Avenir Book"/>
        </w:rPr>
        <w:t xml:space="preserve"> allocate the future tax liability associated with the QOZ deferral. Key provisions:</w:t>
      </w:r>
    </w:p>
    <w:p w14:paraId="1F3B93D1" w14:textId="77777777" w:rsidR="005432B9" w:rsidRPr="00B8015B" w:rsidRDefault="00000000">
      <w:pPr>
        <w:numPr>
          <w:ilvl w:val="0"/>
          <w:numId w:val="9"/>
        </w:numPr>
        <w:rPr>
          <w:rFonts w:ascii="Avenir Book" w:hAnsi="Avenir Book"/>
        </w:rPr>
      </w:pPr>
      <w:r w:rsidRPr="00B8015B">
        <w:rPr>
          <w:rFonts w:ascii="Avenir Book" w:hAnsi="Avenir Book"/>
          <w:b/>
          <w:bCs/>
        </w:rPr>
        <w:t>Assignment of liability</w:t>
      </w:r>
      <w:r w:rsidRPr="00B8015B">
        <w:rPr>
          <w:rFonts w:ascii="Avenir Book" w:hAnsi="Avenir Book"/>
        </w:rPr>
        <w:t>: “Husband shall be solely responsible for all federal and state income tax liability arising from the recognition of deferred gain under IRC Section 1400Z-2(b)(1) on or before December 31, 2026.”</w:t>
      </w:r>
    </w:p>
    <w:p w14:paraId="4BA28DF8" w14:textId="77777777" w:rsidR="005432B9" w:rsidRPr="00B8015B" w:rsidRDefault="00000000">
      <w:pPr>
        <w:numPr>
          <w:ilvl w:val="0"/>
          <w:numId w:val="9"/>
        </w:numPr>
        <w:rPr>
          <w:rFonts w:ascii="Avenir Book" w:hAnsi="Avenir Book"/>
        </w:rPr>
      </w:pPr>
      <w:r w:rsidRPr="00B8015B">
        <w:rPr>
          <w:rFonts w:ascii="Avenir Book" w:hAnsi="Avenir Book"/>
          <w:b/>
          <w:bCs/>
        </w:rPr>
        <w:t>Indemnification</w:t>
      </w:r>
      <w:r w:rsidRPr="00B8015B">
        <w:rPr>
          <w:rFonts w:ascii="Avenir Book" w:hAnsi="Avenir Book"/>
        </w:rPr>
        <w:t>: “Husband shall indemnify, defend, and hold harmless Wife from and against any and all tax liability, penalties, interest, and related costs arising from the deferred QOZ gain recognition event.”</w:t>
      </w:r>
    </w:p>
    <w:p w14:paraId="362D4327" w14:textId="77777777" w:rsidR="005432B9" w:rsidRPr="00B8015B" w:rsidRDefault="00000000">
      <w:pPr>
        <w:numPr>
          <w:ilvl w:val="0"/>
          <w:numId w:val="9"/>
        </w:numPr>
        <w:rPr>
          <w:rFonts w:ascii="Avenir Book" w:hAnsi="Avenir Book"/>
        </w:rPr>
      </w:pPr>
      <w:r w:rsidRPr="00B8015B">
        <w:rPr>
          <w:rFonts w:ascii="Avenir Book" w:hAnsi="Avenir Book"/>
          <w:b/>
          <w:bCs/>
        </w:rPr>
        <w:t>Tax return obligations</w:t>
      </w:r>
      <w:r w:rsidRPr="00B8015B">
        <w:rPr>
          <w:rFonts w:ascii="Avenir Book" w:hAnsi="Avenir Book"/>
        </w:rPr>
        <w:t>: Specify which party reports the gain on their tax return and in what year.</w:t>
      </w:r>
    </w:p>
    <w:p w14:paraId="017603C4" w14:textId="77777777" w:rsidR="005432B9" w:rsidRPr="00B8015B" w:rsidRDefault="00000000">
      <w:pPr>
        <w:pStyle w:val="Heading3"/>
        <w:rPr>
          <w:rFonts w:ascii="Avenir Book" w:hAnsi="Avenir Book"/>
        </w:rPr>
      </w:pPr>
      <w:bookmarkStart w:id="18" w:name="protecting-the-non-qoz-spouse"/>
      <w:bookmarkEnd w:id="17"/>
      <w:r w:rsidRPr="00B8015B">
        <w:rPr>
          <w:rFonts w:ascii="Avenir Book" w:hAnsi="Avenir Book"/>
        </w:rPr>
        <w:t>Protecting the Non-QOZ Spouse</w:t>
      </w:r>
    </w:p>
    <w:p w14:paraId="277B2C74" w14:textId="77777777" w:rsidR="005432B9" w:rsidRPr="00B8015B" w:rsidRDefault="00000000">
      <w:pPr>
        <w:pStyle w:val="FirstParagraph"/>
        <w:rPr>
          <w:rFonts w:ascii="Avenir Book" w:hAnsi="Avenir Book"/>
        </w:rPr>
      </w:pPr>
      <w:r w:rsidRPr="00B8015B">
        <w:rPr>
          <w:rFonts w:ascii="Avenir Book" w:hAnsi="Avenir Book"/>
          <w:b/>
          <w:bCs/>
        </w:rPr>
        <w:t>CRITICAL – THE “TAX BOMB” RISK:</w:t>
      </w:r>
    </w:p>
    <w:p w14:paraId="3B652519" w14:textId="77777777" w:rsidR="005432B9" w:rsidRPr="00B8015B" w:rsidRDefault="00000000">
      <w:pPr>
        <w:pStyle w:val="BodyText"/>
        <w:rPr>
          <w:rFonts w:ascii="Avenir Book" w:hAnsi="Avenir Book"/>
        </w:rPr>
      </w:pPr>
      <w:r w:rsidRPr="00B8015B">
        <w:rPr>
          <w:rFonts w:ascii="Avenir Book" w:hAnsi="Avenir Book"/>
        </w:rPr>
        <w:t xml:space="preserve">Under Treas. Reg. Section 1.1400Z2(b)-1(c), a transfer of a QOF interest to a spouse incident to divorce is an </w:t>
      </w:r>
      <w:r w:rsidRPr="00B8015B">
        <w:rPr>
          <w:rFonts w:ascii="Avenir Book" w:hAnsi="Avenir Book"/>
          <w:b/>
          <w:bCs/>
        </w:rPr>
        <w:t>inclusion event</w:t>
      </w:r>
      <w:r w:rsidRPr="00B8015B">
        <w:rPr>
          <w:rFonts w:ascii="Avenir Book" w:hAnsi="Avenir Book"/>
        </w:rPr>
        <w:t>. This means:</w:t>
      </w:r>
    </w:p>
    <w:p w14:paraId="324D15F3" w14:textId="77777777" w:rsidR="005432B9" w:rsidRPr="00B8015B" w:rsidRDefault="00000000">
      <w:pPr>
        <w:pStyle w:val="Compact"/>
        <w:numPr>
          <w:ilvl w:val="0"/>
          <w:numId w:val="10"/>
        </w:numPr>
        <w:rPr>
          <w:rFonts w:ascii="Avenir Book" w:hAnsi="Avenir Book"/>
        </w:rPr>
      </w:pPr>
      <w:r w:rsidRPr="00B8015B">
        <w:rPr>
          <w:rFonts w:ascii="Avenir Book" w:hAnsi="Avenir Book"/>
        </w:rPr>
        <w:t>The transfer itself triggers recognition of the deferred gain</w:t>
      </w:r>
    </w:p>
    <w:p w14:paraId="524FCFB0" w14:textId="77777777" w:rsidR="005432B9" w:rsidRPr="00B8015B" w:rsidRDefault="00000000">
      <w:pPr>
        <w:pStyle w:val="Compact"/>
        <w:numPr>
          <w:ilvl w:val="0"/>
          <w:numId w:val="10"/>
        </w:numPr>
        <w:rPr>
          <w:rFonts w:ascii="Avenir Book" w:hAnsi="Avenir Book"/>
        </w:rPr>
      </w:pPr>
      <w:r w:rsidRPr="00B8015B">
        <w:rPr>
          <w:rFonts w:ascii="Avenir Book" w:hAnsi="Avenir Book"/>
        </w:rPr>
        <w:t xml:space="preserve">The </w:t>
      </w:r>
      <w:r w:rsidRPr="00B8015B">
        <w:rPr>
          <w:rFonts w:ascii="Avenir Book" w:hAnsi="Avenir Book"/>
          <w:b/>
          <w:bCs/>
        </w:rPr>
        <w:t>transferor</w:t>
      </w:r>
      <w:r w:rsidRPr="00B8015B">
        <w:rPr>
          <w:rFonts w:ascii="Avenir Book" w:hAnsi="Avenir Book"/>
        </w:rPr>
        <w:t xml:space="preserve"> (the spouse who made the original deferral election) recognizes the gain</w:t>
      </w:r>
    </w:p>
    <w:p w14:paraId="5ADF668E" w14:textId="77777777" w:rsidR="005432B9" w:rsidRPr="00B8015B" w:rsidRDefault="00000000">
      <w:pPr>
        <w:pStyle w:val="Compact"/>
        <w:numPr>
          <w:ilvl w:val="0"/>
          <w:numId w:val="10"/>
        </w:numPr>
        <w:rPr>
          <w:rFonts w:ascii="Avenir Book" w:hAnsi="Avenir Book"/>
        </w:rPr>
      </w:pPr>
      <w:r w:rsidRPr="00B8015B">
        <w:rPr>
          <w:rFonts w:ascii="Avenir Book" w:hAnsi="Avenir Book"/>
        </w:rPr>
        <w:t xml:space="preserve">The gain is included in the </w:t>
      </w:r>
      <w:r w:rsidRPr="00B8015B">
        <w:rPr>
          <w:rFonts w:ascii="Avenir Book" w:hAnsi="Avenir Book"/>
          <w:b/>
          <w:bCs/>
        </w:rPr>
        <w:t>transferor’s</w:t>
      </w:r>
      <w:r w:rsidRPr="00B8015B">
        <w:rPr>
          <w:rFonts w:ascii="Avenir Book" w:hAnsi="Avenir Book"/>
        </w:rPr>
        <w:t xml:space="preserve"> income for the year of transfer</w:t>
      </w:r>
    </w:p>
    <w:p w14:paraId="476E4AB3" w14:textId="77777777" w:rsidR="005432B9" w:rsidRPr="00B8015B" w:rsidRDefault="00000000">
      <w:pPr>
        <w:pStyle w:val="Compact"/>
        <w:numPr>
          <w:ilvl w:val="0"/>
          <w:numId w:val="10"/>
        </w:numPr>
        <w:rPr>
          <w:rFonts w:ascii="Avenir Book" w:hAnsi="Avenir Book"/>
        </w:rPr>
      </w:pPr>
      <w:r w:rsidRPr="00B8015B">
        <w:rPr>
          <w:rFonts w:ascii="Avenir Book" w:hAnsi="Avenir Book"/>
        </w:rPr>
        <w:t>The transferee spouse receives a “non-qualifying investment” – meaning they lose all remaining QOZ benefits</w:t>
      </w:r>
    </w:p>
    <w:p w14:paraId="6D348B31" w14:textId="77777777" w:rsidR="005432B9" w:rsidRPr="00B8015B" w:rsidRDefault="00000000">
      <w:pPr>
        <w:pStyle w:val="FirstParagraph"/>
        <w:rPr>
          <w:rFonts w:ascii="Avenir Book" w:hAnsi="Avenir Book"/>
        </w:rPr>
      </w:pPr>
      <w:r w:rsidRPr="00B8015B">
        <w:rPr>
          <w:rFonts w:ascii="Avenir Book" w:hAnsi="Avenir Book"/>
        </w:rPr>
        <w:t>This is a trap for the unwary. If the decree awards the QOF interest to the non-investing spouse, the investing spouse faces immediate gain recognition, and the receiving spouse gets an investment stripped of its tax-advantaged status.</w:t>
      </w:r>
    </w:p>
    <w:p w14:paraId="13CCD2A9" w14:textId="77777777" w:rsidR="005432B9" w:rsidRPr="00B8015B" w:rsidRDefault="00000000">
      <w:pPr>
        <w:pStyle w:val="BodyText"/>
        <w:rPr>
          <w:rFonts w:ascii="Avenir Book" w:hAnsi="Avenir Book"/>
        </w:rPr>
      </w:pPr>
      <w:r w:rsidRPr="00B8015B">
        <w:rPr>
          <w:rFonts w:ascii="Avenir Book" w:hAnsi="Avenir Book"/>
          <w:b/>
          <w:bCs/>
        </w:rPr>
        <w:t>Indemnification provisions should address:</w:t>
      </w:r>
    </w:p>
    <w:p w14:paraId="33BA5A9D" w14:textId="77777777" w:rsidR="005432B9" w:rsidRPr="00B8015B" w:rsidRDefault="00000000">
      <w:pPr>
        <w:pStyle w:val="Compact"/>
        <w:numPr>
          <w:ilvl w:val="0"/>
          <w:numId w:val="11"/>
        </w:numPr>
        <w:rPr>
          <w:rFonts w:ascii="Avenir Book" w:hAnsi="Avenir Book"/>
        </w:rPr>
      </w:pPr>
      <w:r w:rsidRPr="00B8015B">
        <w:rPr>
          <w:rFonts w:ascii="Avenir Book" w:hAnsi="Avenir Book"/>
        </w:rPr>
        <w:t>Tax liability from the inclusion event itself</w:t>
      </w:r>
    </w:p>
    <w:p w14:paraId="0F32FBE0" w14:textId="77777777" w:rsidR="005432B9" w:rsidRPr="00B8015B" w:rsidRDefault="00000000">
      <w:pPr>
        <w:pStyle w:val="Compact"/>
        <w:numPr>
          <w:ilvl w:val="0"/>
          <w:numId w:val="11"/>
        </w:numPr>
        <w:rPr>
          <w:rFonts w:ascii="Avenir Book" w:hAnsi="Avenir Book"/>
        </w:rPr>
      </w:pPr>
      <w:r w:rsidRPr="00B8015B">
        <w:rPr>
          <w:rFonts w:ascii="Avenir Book" w:hAnsi="Avenir Book"/>
        </w:rPr>
        <w:t>Any penalties or interest from failure to properly report</w:t>
      </w:r>
    </w:p>
    <w:p w14:paraId="31F574C0" w14:textId="77777777" w:rsidR="005432B9" w:rsidRPr="00B8015B" w:rsidRDefault="00000000">
      <w:pPr>
        <w:pStyle w:val="Compact"/>
        <w:numPr>
          <w:ilvl w:val="0"/>
          <w:numId w:val="11"/>
        </w:numPr>
        <w:rPr>
          <w:rFonts w:ascii="Avenir Book" w:hAnsi="Avenir Book"/>
        </w:rPr>
      </w:pPr>
      <w:r w:rsidRPr="00B8015B">
        <w:rPr>
          <w:rFonts w:ascii="Avenir Book" w:hAnsi="Avenir Book"/>
        </w:rPr>
        <w:t>Professional fees (CPA, attorney) for handling the tax consequences</w:t>
      </w:r>
    </w:p>
    <w:p w14:paraId="308CC251" w14:textId="77777777" w:rsidR="005432B9" w:rsidRPr="00B8015B" w:rsidRDefault="00000000">
      <w:pPr>
        <w:pStyle w:val="Compact"/>
        <w:numPr>
          <w:ilvl w:val="0"/>
          <w:numId w:val="11"/>
        </w:numPr>
        <w:rPr>
          <w:rFonts w:ascii="Avenir Book" w:hAnsi="Avenir Book"/>
        </w:rPr>
      </w:pPr>
      <w:r w:rsidRPr="00B8015B">
        <w:rPr>
          <w:rFonts w:ascii="Avenir Book" w:hAnsi="Avenir Book"/>
        </w:rPr>
        <w:t>Potential IRS audit defense costs</w:t>
      </w:r>
    </w:p>
    <w:p w14:paraId="23076BBA" w14:textId="77777777" w:rsidR="005432B9" w:rsidRPr="00B8015B" w:rsidRDefault="00000000">
      <w:pPr>
        <w:pStyle w:val="Compact"/>
        <w:numPr>
          <w:ilvl w:val="0"/>
          <w:numId w:val="11"/>
        </w:numPr>
        <w:rPr>
          <w:rFonts w:ascii="Avenir Book" w:hAnsi="Avenir Book"/>
        </w:rPr>
      </w:pPr>
      <w:r w:rsidRPr="00B8015B">
        <w:rPr>
          <w:rFonts w:ascii="Avenir Book" w:hAnsi="Avenir Book"/>
        </w:rPr>
        <w:t>Allocation of responsibility for tax payment timing (estimated taxes, etc.)</w:t>
      </w:r>
    </w:p>
    <w:p w14:paraId="6EBC914A" w14:textId="77777777" w:rsidR="005432B9" w:rsidRPr="00B8015B" w:rsidRDefault="00286CC4">
      <w:pPr>
        <w:rPr>
          <w:rFonts w:ascii="Avenir Book" w:hAnsi="Avenir Book"/>
        </w:rPr>
      </w:pPr>
      <w:r w:rsidRPr="00286CC4">
        <w:rPr>
          <w:rFonts w:ascii="Avenir Book" w:hAnsi="Avenir Book"/>
          <w:noProof/>
        </w:rPr>
        <w:lastRenderedPageBreak/>
        <w:pict w14:anchorId="47D3AEAC">
          <v:rect id="_x0000_i1036" alt="" style="width:468pt;height:.05pt;mso-width-percent:0;mso-height-percent:0;mso-width-percent:0;mso-height-percent:0" o:hralign="center" o:hrstd="t" o:hr="t"/>
        </w:pict>
      </w:r>
    </w:p>
    <w:p w14:paraId="531EB21A" w14:textId="77777777" w:rsidR="005432B9" w:rsidRPr="00B8015B" w:rsidRDefault="00000000">
      <w:pPr>
        <w:pStyle w:val="Heading2"/>
        <w:rPr>
          <w:rFonts w:ascii="Avenir Book" w:hAnsi="Avenir Book"/>
        </w:rPr>
      </w:pPr>
      <w:bookmarkStart w:id="19" w:name="strategic-timing-considerations"/>
      <w:bookmarkEnd w:id="14"/>
      <w:bookmarkEnd w:id="18"/>
      <w:r w:rsidRPr="00B8015B">
        <w:rPr>
          <w:rFonts w:ascii="Avenir Book" w:hAnsi="Avenir Book"/>
        </w:rPr>
        <w:t>4. Strategic Timing Considerations</w:t>
      </w:r>
    </w:p>
    <w:p w14:paraId="5BA370C7" w14:textId="77777777" w:rsidR="005432B9" w:rsidRPr="00B8015B" w:rsidRDefault="00000000">
      <w:pPr>
        <w:pStyle w:val="Heading3"/>
        <w:rPr>
          <w:rFonts w:ascii="Avenir Book" w:hAnsi="Avenir Book"/>
        </w:rPr>
      </w:pPr>
      <w:bookmarkStart w:id="20" w:name="the-december-31-2026-hard-deadline"/>
      <w:r w:rsidRPr="00B8015B">
        <w:rPr>
          <w:rFonts w:ascii="Avenir Book" w:hAnsi="Avenir Book"/>
        </w:rPr>
        <w:t>The December 31, 2026 Hard Deadline</w:t>
      </w:r>
    </w:p>
    <w:p w14:paraId="282A5A43" w14:textId="77777777" w:rsidR="005432B9" w:rsidRPr="00B8015B" w:rsidRDefault="00000000">
      <w:pPr>
        <w:pStyle w:val="FirstParagraph"/>
        <w:rPr>
          <w:rFonts w:ascii="Avenir Book" w:hAnsi="Avenir Book"/>
        </w:rPr>
      </w:pPr>
      <w:r w:rsidRPr="00B8015B">
        <w:rPr>
          <w:rFonts w:ascii="Avenir Book" w:hAnsi="Avenir Book"/>
        </w:rPr>
        <w:t>Under IRC Section 1400Z-2(b)(1) and Treas. Reg. Section 1.1400Z2(b)-1(b), all deferred gains from QOF investments must be recognized no later than December 31, 2026. This creates a critical planning window.</w:t>
      </w:r>
    </w:p>
    <w:p w14:paraId="7BD57941" w14:textId="77777777" w:rsidR="005432B9" w:rsidRPr="00B8015B" w:rsidRDefault="00000000">
      <w:pPr>
        <w:pStyle w:val="Heading3"/>
        <w:rPr>
          <w:rFonts w:ascii="Avenir Book" w:hAnsi="Avenir Book"/>
        </w:rPr>
      </w:pPr>
      <w:bookmarkStart w:id="21" w:name="X5e0dfbe0db5ff5b4fd91f5ca82740986c1808e4"/>
      <w:bookmarkEnd w:id="20"/>
      <w:r w:rsidRPr="00B8015B">
        <w:rPr>
          <w:rFonts w:ascii="Avenir Book" w:hAnsi="Avenir Book"/>
        </w:rPr>
        <w:t>Should Divorce Be Finalized BEFORE or AFTER December 31, 2026?</w:t>
      </w:r>
    </w:p>
    <w:p w14:paraId="4799A64D" w14:textId="77777777" w:rsidR="005432B9" w:rsidRPr="00B8015B" w:rsidRDefault="00000000">
      <w:pPr>
        <w:pStyle w:val="FirstParagraph"/>
        <w:rPr>
          <w:rFonts w:ascii="Avenir Book" w:hAnsi="Avenir Book"/>
        </w:rPr>
      </w:pPr>
      <w:r w:rsidRPr="00B8015B">
        <w:rPr>
          <w:rFonts w:ascii="Avenir Book" w:hAnsi="Avenir Book"/>
          <w:b/>
          <w:bCs/>
        </w:rPr>
        <w:t>Option A: Finalize BEFORE December 31, 2026</w:t>
      </w:r>
    </w:p>
    <w:tbl>
      <w:tblPr>
        <w:tblStyle w:val="Table"/>
        <w:tblW w:w="5000" w:type="pct"/>
        <w:tblLayout w:type="fixed"/>
        <w:tblLook w:val="0020" w:firstRow="1" w:lastRow="0" w:firstColumn="0" w:lastColumn="0" w:noHBand="0" w:noVBand="0"/>
      </w:tblPr>
      <w:tblGrid>
        <w:gridCol w:w="3648"/>
        <w:gridCol w:w="5928"/>
      </w:tblGrid>
      <w:tr w:rsidR="005432B9" w:rsidRPr="00B8015B" w14:paraId="575BAFD2" w14:textId="77777777" w:rsidTr="005432B9">
        <w:trPr>
          <w:cnfStyle w:val="100000000000" w:firstRow="1" w:lastRow="0" w:firstColumn="0" w:lastColumn="0" w:oddVBand="0" w:evenVBand="0" w:oddHBand="0" w:evenHBand="0" w:firstRowFirstColumn="0" w:firstRowLastColumn="0" w:lastRowFirstColumn="0" w:lastRowLastColumn="0"/>
          <w:tblHeader/>
        </w:trPr>
        <w:tc>
          <w:tcPr>
            <w:tcW w:w="3017" w:type="dxa"/>
          </w:tcPr>
          <w:p w14:paraId="6C8DC331" w14:textId="77777777" w:rsidR="005432B9" w:rsidRPr="00B8015B" w:rsidRDefault="00000000">
            <w:pPr>
              <w:pStyle w:val="Compact"/>
              <w:rPr>
                <w:rFonts w:ascii="Avenir Book" w:hAnsi="Avenir Book"/>
              </w:rPr>
            </w:pPr>
            <w:r w:rsidRPr="00B8015B">
              <w:rPr>
                <w:rFonts w:ascii="Avenir Book" w:hAnsi="Avenir Book"/>
              </w:rPr>
              <w:t>Factor</w:t>
            </w:r>
          </w:p>
        </w:tc>
        <w:tc>
          <w:tcPr>
            <w:tcW w:w="4902" w:type="dxa"/>
          </w:tcPr>
          <w:p w14:paraId="15862C3C" w14:textId="77777777" w:rsidR="005432B9" w:rsidRPr="00B8015B" w:rsidRDefault="00000000">
            <w:pPr>
              <w:pStyle w:val="Compact"/>
              <w:rPr>
                <w:rFonts w:ascii="Avenir Book" w:hAnsi="Avenir Book"/>
              </w:rPr>
            </w:pPr>
            <w:r w:rsidRPr="00B8015B">
              <w:rPr>
                <w:rFonts w:ascii="Avenir Book" w:hAnsi="Avenir Book"/>
              </w:rPr>
              <w:t>Implication</w:t>
            </w:r>
          </w:p>
        </w:tc>
      </w:tr>
      <w:tr w:rsidR="005432B9" w:rsidRPr="00B8015B" w14:paraId="332AF4F0" w14:textId="77777777">
        <w:tc>
          <w:tcPr>
            <w:tcW w:w="3017" w:type="dxa"/>
          </w:tcPr>
          <w:p w14:paraId="7374E3B4" w14:textId="77777777" w:rsidR="005432B9" w:rsidRPr="00B8015B" w:rsidRDefault="00000000">
            <w:pPr>
              <w:pStyle w:val="Compact"/>
              <w:rPr>
                <w:rFonts w:ascii="Avenir Book" w:hAnsi="Avenir Book"/>
              </w:rPr>
            </w:pPr>
            <w:r w:rsidRPr="00B8015B">
              <w:rPr>
                <w:rFonts w:ascii="Avenir Book" w:hAnsi="Avenir Book"/>
                <w:b/>
                <w:bCs/>
              </w:rPr>
              <w:t>QOF interest transfer</w:t>
            </w:r>
          </w:p>
        </w:tc>
        <w:tc>
          <w:tcPr>
            <w:tcW w:w="4902" w:type="dxa"/>
          </w:tcPr>
          <w:p w14:paraId="6650571E" w14:textId="77777777" w:rsidR="005432B9" w:rsidRPr="00B8015B" w:rsidRDefault="00000000">
            <w:pPr>
              <w:pStyle w:val="Compact"/>
              <w:rPr>
                <w:rFonts w:ascii="Avenir Book" w:hAnsi="Avenir Book"/>
              </w:rPr>
            </w:pPr>
            <w:r w:rsidRPr="00B8015B">
              <w:rPr>
                <w:rFonts w:ascii="Avenir Book" w:hAnsi="Avenir Book"/>
              </w:rPr>
              <w:t>If QOF interest is transferred to spouse as part of division, this is an inclusion event triggering IMMEDIATE gain recognition – before December 2026</w:t>
            </w:r>
          </w:p>
        </w:tc>
      </w:tr>
      <w:tr w:rsidR="005432B9" w:rsidRPr="00B8015B" w14:paraId="59FBA989" w14:textId="77777777">
        <w:tc>
          <w:tcPr>
            <w:tcW w:w="3017" w:type="dxa"/>
          </w:tcPr>
          <w:p w14:paraId="12036944" w14:textId="77777777" w:rsidR="005432B9" w:rsidRPr="00B8015B" w:rsidRDefault="00000000">
            <w:pPr>
              <w:pStyle w:val="Compact"/>
              <w:rPr>
                <w:rFonts w:ascii="Avenir Book" w:hAnsi="Avenir Book"/>
              </w:rPr>
            </w:pPr>
            <w:r w:rsidRPr="00B8015B">
              <w:rPr>
                <w:rFonts w:ascii="Avenir Book" w:hAnsi="Avenir Book"/>
                <w:b/>
                <w:bCs/>
              </w:rPr>
              <w:t>Filing status</w:t>
            </w:r>
          </w:p>
        </w:tc>
        <w:tc>
          <w:tcPr>
            <w:tcW w:w="4902" w:type="dxa"/>
          </w:tcPr>
          <w:p w14:paraId="27EA1385" w14:textId="77777777" w:rsidR="005432B9" w:rsidRPr="00B8015B" w:rsidRDefault="00000000">
            <w:pPr>
              <w:pStyle w:val="Compact"/>
              <w:rPr>
                <w:rFonts w:ascii="Avenir Book" w:hAnsi="Avenir Book"/>
              </w:rPr>
            </w:pPr>
            <w:r w:rsidRPr="00B8015B">
              <w:rPr>
                <w:rFonts w:ascii="Avenir Book" w:hAnsi="Avenir Book"/>
              </w:rPr>
              <w:t>Both spouses file as single (or head of household) for 2026</w:t>
            </w:r>
          </w:p>
        </w:tc>
      </w:tr>
      <w:tr w:rsidR="005432B9" w:rsidRPr="00B8015B" w14:paraId="7F8B682C" w14:textId="77777777">
        <w:tc>
          <w:tcPr>
            <w:tcW w:w="3017" w:type="dxa"/>
          </w:tcPr>
          <w:p w14:paraId="26A3CCE8" w14:textId="77777777" w:rsidR="005432B9" w:rsidRPr="00B8015B" w:rsidRDefault="00000000">
            <w:pPr>
              <w:pStyle w:val="Compact"/>
              <w:rPr>
                <w:rFonts w:ascii="Avenir Book" w:hAnsi="Avenir Book"/>
              </w:rPr>
            </w:pPr>
            <w:r w:rsidRPr="00B8015B">
              <w:rPr>
                <w:rFonts w:ascii="Avenir Book" w:hAnsi="Avenir Book"/>
                <w:b/>
                <w:bCs/>
              </w:rPr>
              <w:t>Gain allocation</w:t>
            </w:r>
          </w:p>
        </w:tc>
        <w:tc>
          <w:tcPr>
            <w:tcW w:w="4902" w:type="dxa"/>
          </w:tcPr>
          <w:p w14:paraId="74F8957A" w14:textId="77777777" w:rsidR="005432B9" w:rsidRPr="00B8015B" w:rsidRDefault="00000000">
            <w:pPr>
              <w:pStyle w:val="Compact"/>
              <w:rPr>
                <w:rFonts w:ascii="Avenir Book" w:hAnsi="Avenir Book"/>
              </w:rPr>
            </w:pPr>
            <w:r w:rsidRPr="00B8015B">
              <w:rPr>
                <w:rFonts w:ascii="Avenir Book" w:hAnsi="Avenir Book"/>
              </w:rPr>
              <w:t>The transferor spouse recognizes the deferred gain in the year of the inclusion event (the transfer)</w:t>
            </w:r>
          </w:p>
        </w:tc>
      </w:tr>
      <w:tr w:rsidR="005432B9" w:rsidRPr="00B8015B" w14:paraId="32B4A154" w14:textId="77777777">
        <w:tc>
          <w:tcPr>
            <w:tcW w:w="3017" w:type="dxa"/>
          </w:tcPr>
          <w:p w14:paraId="22284DC2" w14:textId="77777777" w:rsidR="005432B9" w:rsidRPr="00B8015B" w:rsidRDefault="00000000">
            <w:pPr>
              <w:pStyle w:val="Compact"/>
              <w:rPr>
                <w:rFonts w:ascii="Avenir Book" w:hAnsi="Avenir Book"/>
              </w:rPr>
            </w:pPr>
            <w:r w:rsidRPr="00B8015B">
              <w:rPr>
                <w:rFonts w:ascii="Avenir Book" w:hAnsi="Avenir Book"/>
                <w:b/>
                <w:bCs/>
              </w:rPr>
              <w:t>Rate impact</w:t>
            </w:r>
          </w:p>
        </w:tc>
        <w:tc>
          <w:tcPr>
            <w:tcW w:w="4902" w:type="dxa"/>
          </w:tcPr>
          <w:p w14:paraId="7F3BC2FF" w14:textId="77777777" w:rsidR="005432B9" w:rsidRPr="00B8015B" w:rsidRDefault="00000000">
            <w:pPr>
              <w:pStyle w:val="Compact"/>
              <w:rPr>
                <w:rFonts w:ascii="Avenir Book" w:hAnsi="Avenir Book"/>
              </w:rPr>
            </w:pPr>
            <w:r w:rsidRPr="00B8015B">
              <w:rPr>
                <w:rFonts w:ascii="Avenir Book" w:hAnsi="Avenir Book"/>
              </w:rPr>
              <w:t>Single filing rates have narrower brackets – potentially higher marginal rate on the recognized gain</w:t>
            </w:r>
          </w:p>
        </w:tc>
      </w:tr>
    </w:tbl>
    <w:p w14:paraId="569DF48C" w14:textId="77777777" w:rsidR="005432B9" w:rsidRPr="00B8015B" w:rsidRDefault="00000000">
      <w:pPr>
        <w:pStyle w:val="BodyText"/>
        <w:rPr>
          <w:rFonts w:ascii="Avenir Book" w:hAnsi="Avenir Book"/>
        </w:rPr>
      </w:pPr>
      <w:r w:rsidRPr="00B8015B">
        <w:rPr>
          <w:rFonts w:ascii="Avenir Book" w:hAnsi="Avenir Book"/>
          <w:b/>
          <w:bCs/>
        </w:rPr>
        <w:t>Option B: Finalize AFTER December 31, 2026</w:t>
      </w:r>
    </w:p>
    <w:tbl>
      <w:tblPr>
        <w:tblStyle w:val="Table"/>
        <w:tblW w:w="5000" w:type="pct"/>
        <w:tblLayout w:type="fixed"/>
        <w:tblLook w:val="0020" w:firstRow="1" w:lastRow="0" w:firstColumn="0" w:lastColumn="0" w:noHBand="0" w:noVBand="0"/>
      </w:tblPr>
      <w:tblGrid>
        <w:gridCol w:w="3648"/>
        <w:gridCol w:w="5928"/>
      </w:tblGrid>
      <w:tr w:rsidR="005432B9" w:rsidRPr="00B8015B" w14:paraId="0B5109D9" w14:textId="77777777" w:rsidTr="005432B9">
        <w:trPr>
          <w:cnfStyle w:val="100000000000" w:firstRow="1" w:lastRow="0" w:firstColumn="0" w:lastColumn="0" w:oddVBand="0" w:evenVBand="0" w:oddHBand="0" w:evenHBand="0" w:firstRowFirstColumn="0" w:firstRowLastColumn="0" w:lastRowFirstColumn="0" w:lastRowLastColumn="0"/>
          <w:tblHeader/>
        </w:trPr>
        <w:tc>
          <w:tcPr>
            <w:tcW w:w="3017" w:type="dxa"/>
          </w:tcPr>
          <w:p w14:paraId="04BB8152" w14:textId="77777777" w:rsidR="005432B9" w:rsidRPr="00B8015B" w:rsidRDefault="00000000">
            <w:pPr>
              <w:pStyle w:val="Compact"/>
              <w:rPr>
                <w:rFonts w:ascii="Avenir Book" w:hAnsi="Avenir Book"/>
              </w:rPr>
            </w:pPr>
            <w:r w:rsidRPr="00B8015B">
              <w:rPr>
                <w:rFonts w:ascii="Avenir Book" w:hAnsi="Avenir Book"/>
              </w:rPr>
              <w:t>Factor</w:t>
            </w:r>
          </w:p>
        </w:tc>
        <w:tc>
          <w:tcPr>
            <w:tcW w:w="4902" w:type="dxa"/>
          </w:tcPr>
          <w:p w14:paraId="285CCDD4" w14:textId="77777777" w:rsidR="005432B9" w:rsidRPr="00B8015B" w:rsidRDefault="00000000">
            <w:pPr>
              <w:pStyle w:val="Compact"/>
              <w:rPr>
                <w:rFonts w:ascii="Avenir Book" w:hAnsi="Avenir Book"/>
              </w:rPr>
            </w:pPr>
            <w:r w:rsidRPr="00B8015B">
              <w:rPr>
                <w:rFonts w:ascii="Avenir Book" w:hAnsi="Avenir Book"/>
              </w:rPr>
              <w:t>Implication</w:t>
            </w:r>
          </w:p>
        </w:tc>
      </w:tr>
      <w:tr w:rsidR="005432B9" w:rsidRPr="00B8015B" w14:paraId="6E2834F5" w14:textId="77777777">
        <w:tc>
          <w:tcPr>
            <w:tcW w:w="3017" w:type="dxa"/>
          </w:tcPr>
          <w:p w14:paraId="3EF3766A" w14:textId="77777777" w:rsidR="005432B9" w:rsidRPr="00B8015B" w:rsidRDefault="00000000">
            <w:pPr>
              <w:pStyle w:val="Compact"/>
              <w:rPr>
                <w:rFonts w:ascii="Avenir Book" w:hAnsi="Avenir Book"/>
              </w:rPr>
            </w:pPr>
            <w:r w:rsidRPr="00B8015B">
              <w:rPr>
                <w:rFonts w:ascii="Avenir Book" w:hAnsi="Avenir Book"/>
                <w:b/>
                <w:bCs/>
              </w:rPr>
              <w:t>December 31, 2026 recognition</w:t>
            </w:r>
          </w:p>
        </w:tc>
        <w:tc>
          <w:tcPr>
            <w:tcW w:w="4902" w:type="dxa"/>
          </w:tcPr>
          <w:p w14:paraId="1D129D46" w14:textId="77777777" w:rsidR="005432B9" w:rsidRPr="00B8015B" w:rsidRDefault="00000000">
            <w:pPr>
              <w:pStyle w:val="Compact"/>
              <w:rPr>
                <w:rFonts w:ascii="Avenir Book" w:hAnsi="Avenir Book"/>
              </w:rPr>
            </w:pPr>
            <w:r w:rsidRPr="00B8015B">
              <w:rPr>
                <w:rFonts w:ascii="Avenir Book" w:hAnsi="Avenir Book"/>
              </w:rPr>
              <w:t>The mandatory recognition occurs while still married</w:t>
            </w:r>
          </w:p>
        </w:tc>
      </w:tr>
      <w:tr w:rsidR="005432B9" w:rsidRPr="00B8015B" w14:paraId="2ABEEFC0" w14:textId="77777777">
        <w:tc>
          <w:tcPr>
            <w:tcW w:w="3017" w:type="dxa"/>
          </w:tcPr>
          <w:p w14:paraId="1784937E" w14:textId="77777777" w:rsidR="005432B9" w:rsidRPr="00B8015B" w:rsidRDefault="00000000">
            <w:pPr>
              <w:pStyle w:val="Compact"/>
              <w:rPr>
                <w:rFonts w:ascii="Avenir Book" w:hAnsi="Avenir Book"/>
              </w:rPr>
            </w:pPr>
            <w:r w:rsidRPr="00B8015B">
              <w:rPr>
                <w:rFonts w:ascii="Avenir Book" w:hAnsi="Avenir Book"/>
                <w:b/>
                <w:bCs/>
              </w:rPr>
              <w:t>Filing status</w:t>
            </w:r>
          </w:p>
        </w:tc>
        <w:tc>
          <w:tcPr>
            <w:tcW w:w="4902" w:type="dxa"/>
          </w:tcPr>
          <w:p w14:paraId="541AFF3F" w14:textId="77777777" w:rsidR="005432B9" w:rsidRPr="00B8015B" w:rsidRDefault="00000000">
            <w:pPr>
              <w:pStyle w:val="Compact"/>
              <w:rPr>
                <w:rFonts w:ascii="Avenir Book" w:hAnsi="Avenir Book"/>
              </w:rPr>
            </w:pPr>
            <w:r w:rsidRPr="00B8015B">
              <w:rPr>
                <w:rFonts w:ascii="Avenir Book" w:hAnsi="Avenir Book"/>
              </w:rPr>
              <w:t>If married as of December 31, 2026, spouses can elect to file jointly for 2026</w:t>
            </w:r>
          </w:p>
        </w:tc>
      </w:tr>
      <w:tr w:rsidR="005432B9" w:rsidRPr="00B8015B" w14:paraId="56FBA5B5" w14:textId="77777777">
        <w:tc>
          <w:tcPr>
            <w:tcW w:w="3017" w:type="dxa"/>
          </w:tcPr>
          <w:p w14:paraId="7A0066BF" w14:textId="77777777" w:rsidR="005432B9" w:rsidRPr="00B8015B" w:rsidRDefault="00000000">
            <w:pPr>
              <w:pStyle w:val="Compact"/>
              <w:rPr>
                <w:rFonts w:ascii="Avenir Book" w:hAnsi="Avenir Book"/>
              </w:rPr>
            </w:pPr>
            <w:r w:rsidRPr="00B8015B">
              <w:rPr>
                <w:rFonts w:ascii="Avenir Book" w:hAnsi="Avenir Book"/>
                <w:b/>
                <w:bCs/>
              </w:rPr>
              <w:t>Joint filing benefit</w:t>
            </w:r>
          </w:p>
        </w:tc>
        <w:tc>
          <w:tcPr>
            <w:tcW w:w="4902" w:type="dxa"/>
          </w:tcPr>
          <w:p w14:paraId="7C72B0F5" w14:textId="77777777" w:rsidR="005432B9" w:rsidRPr="00B8015B" w:rsidRDefault="00000000">
            <w:pPr>
              <w:pStyle w:val="Compact"/>
              <w:rPr>
                <w:rFonts w:ascii="Avenir Book" w:hAnsi="Avenir Book"/>
              </w:rPr>
            </w:pPr>
            <w:r w:rsidRPr="00B8015B">
              <w:rPr>
                <w:rFonts w:ascii="Avenir Book" w:hAnsi="Avenir Book"/>
              </w:rPr>
              <w:t>Joint filing provides wider tax brackets, potentially reducing the marginal rate on the recognized gain</w:t>
            </w:r>
          </w:p>
        </w:tc>
      </w:tr>
      <w:tr w:rsidR="005432B9" w:rsidRPr="00B8015B" w14:paraId="1CB80D79" w14:textId="77777777">
        <w:tc>
          <w:tcPr>
            <w:tcW w:w="3017" w:type="dxa"/>
          </w:tcPr>
          <w:p w14:paraId="0F10F097" w14:textId="77777777" w:rsidR="005432B9" w:rsidRPr="00B8015B" w:rsidRDefault="00000000">
            <w:pPr>
              <w:pStyle w:val="Compact"/>
              <w:rPr>
                <w:rFonts w:ascii="Avenir Book" w:hAnsi="Avenir Book"/>
              </w:rPr>
            </w:pPr>
            <w:r w:rsidRPr="00B8015B">
              <w:rPr>
                <w:rFonts w:ascii="Avenir Book" w:hAnsi="Avenir Book"/>
                <w:b/>
                <w:bCs/>
              </w:rPr>
              <w:t>Community liability</w:t>
            </w:r>
          </w:p>
        </w:tc>
        <w:tc>
          <w:tcPr>
            <w:tcW w:w="4902" w:type="dxa"/>
          </w:tcPr>
          <w:p w14:paraId="17EA908C" w14:textId="77777777" w:rsidR="005432B9" w:rsidRPr="00B8015B" w:rsidRDefault="00000000">
            <w:pPr>
              <w:pStyle w:val="Compact"/>
              <w:rPr>
                <w:rFonts w:ascii="Avenir Book" w:hAnsi="Avenir Book"/>
              </w:rPr>
            </w:pPr>
            <w:r w:rsidRPr="00B8015B">
              <w:rPr>
                <w:rFonts w:ascii="Avenir Book" w:hAnsi="Avenir Book"/>
              </w:rPr>
              <w:t>The recognized gain is a community obligation (arose during marriage)</w:t>
            </w:r>
          </w:p>
        </w:tc>
      </w:tr>
      <w:tr w:rsidR="005432B9" w:rsidRPr="00B8015B" w14:paraId="6791AC3D" w14:textId="77777777">
        <w:tc>
          <w:tcPr>
            <w:tcW w:w="3017" w:type="dxa"/>
          </w:tcPr>
          <w:p w14:paraId="5BE9A0CA" w14:textId="77777777" w:rsidR="005432B9" w:rsidRPr="00B8015B" w:rsidRDefault="00000000">
            <w:pPr>
              <w:pStyle w:val="Compact"/>
              <w:rPr>
                <w:rFonts w:ascii="Avenir Book" w:hAnsi="Avenir Book"/>
              </w:rPr>
            </w:pPr>
            <w:r w:rsidRPr="00B8015B">
              <w:rPr>
                <w:rFonts w:ascii="Avenir Book" w:hAnsi="Avenir Book"/>
                <w:b/>
                <w:bCs/>
              </w:rPr>
              <w:t>Strategic advantage</w:t>
            </w:r>
          </w:p>
        </w:tc>
        <w:tc>
          <w:tcPr>
            <w:tcW w:w="4902" w:type="dxa"/>
          </w:tcPr>
          <w:p w14:paraId="2CCA4A50" w14:textId="77777777" w:rsidR="005432B9" w:rsidRPr="00B8015B" w:rsidRDefault="00000000">
            <w:pPr>
              <w:pStyle w:val="Compact"/>
              <w:rPr>
                <w:rFonts w:ascii="Avenir Book" w:hAnsi="Avenir Book"/>
              </w:rPr>
            </w:pPr>
            <w:r w:rsidRPr="00B8015B">
              <w:rPr>
                <w:rFonts w:ascii="Avenir Book" w:hAnsi="Avenir Book"/>
              </w:rPr>
              <w:t>Both parties share the tax burden through joint filing, then divide remaining assets post-recognition</w:t>
            </w:r>
          </w:p>
        </w:tc>
      </w:tr>
    </w:tbl>
    <w:p w14:paraId="5A897D72" w14:textId="77777777" w:rsidR="005432B9" w:rsidRPr="00B8015B" w:rsidRDefault="00000000">
      <w:pPr>
        <w:pStyle w:val="BodyText"/>
        <w:rPr>
          <w:rFonts w:ascii="Avenir Book" w:hAnsi="Avenir Book"/>
        </w:rPr>
      </w:pPr>
      <w:r w:rsidRPr="00B8015B">
        <w:rPr>
          <w:rFonts w:ascii="Avenir Book" w:hAnsi="Avenir Book"/>
          <w:b/>
          <w:bCs/>
        </w:rPr>
        <w:t>Option C: Finalize in 2026 but DO NOT transfer the QOF interest</w:t>
      </w:r>
    </w:p>
    <w:tbl>
      <w:tblPr>
        <w:tblStyle w:val="Table"/>
        <w:tblW w:w="5000" w:type="pct"/>
        <w:tblLayout w:type="fixed"/>
        <w:tblLook w:val="0020" w:firstRow="1" w:lastRow="0" w:firstColumn="0" w:lastColumn="0" w:noHBand="0" w:noVBand="0"/>
      </w:tblPr>
      <w:tblGrid>
        <w:gridCol w:w="3648"/>
        <w:gridCol w:w="5928"/>
      </w:tblGrid>
      <w:tr w:rsidR="005432B9" w:rsidRPr="00B8015B" w14:paraId="27E306EE" w14:textId="77777777" w:rsidTr="005432B9">
        <w:trPr>
          <w:cnfStyle w:val="100000000000" w:firstRow="1" w:lastRow="0" w:firstColumn="0" w:lastColumn="0" w:oddVBand="0" w:evenVBand="0" w:oddHBand="0" w:evenHBand="0" w:firstRowFirstColumn="0" w:firstRowLastColumn="0" w:lastRowFirstColumn="0" w:lastRowLastColumn="0"/>
          <w:tblHeader/>
        </w:trPr>
        <w:tc>
          <w:tcPr>
            <w:tcW w:w="3017" w:type="dxa"/>
          </w:tcPr>
          <w:p w14:paraId="679E5DB9" w14:textId="77777777" w:rsidR="005432B9" w:rsidRPr="00B8015B" w:rsidRDefault="00000000">
            <w:pPr>
              <w:pStyle w:val="Compact"/>
              <w:rPr>
                <w:rFonts w:ascii="Avenir Book" w:hAnsi="Avenir Book"/>
              </w:rPr>
            </w:pPr>
            <w:r w:rsidRPr="00B8015B">
              <w:rPr>
                <w:rFonts w:ascii="Avenir Book" w:hAnsi="Avenir Book"/>
              </w:rPr>
              <w:t>Factor</w:t>
            </w:r>
          </w:p>
        </w:tc>
        <w:tc>
          <w:tcPr>
            <w:tcW w:w="4902" w:type="dxa"/>
          </w:tcPr>
          <w:p w14:paraId="417E5DD8" w14:textId="77777777" w:rsidR="005432B9" w:rsidRPr="00B8015B" w:rsidRDefault="00000000">
            <w:pPr>
              <w:pStyle w:val="Compact"/>
              <w:rPr>
                <w:rFonts w:ascii="Avenir Book" w:hAnsi="Avenir Book"/>
              </w:rPr>
            </w:pPr>
            <w:r w:rsidRPr="00B8015B">
              <w:rPr>
                <w:rFonts w:ascii="Avenir Book" w:hAnsi="Avenir Book"/>
              </w:rPr>
              <w:t>Implication</w:t>
            </w:r>
          </w:p>
        </w:tc>
      </w:tr>
      <w:tr w:rsidR="005432B9" w:rsidRPr="00B8015B" w14:paraId="361A795A" w14:textId="77777777">
        <w:tc>
          <w:tcPr>
            <w:tcW w:w="3017" w:type="dxa"/>
          </w:tcPr>
          <w:p w14:paraId="4B8D9BAC" w14:textId="77777777" w:rsidR="005432B9" w:rsidRPr="00B8015B" w:rsidRDefault="00000000">
            <w:pPr>
              <w:pStyle w:val="Compact"/>
              <w:rPr>
                <w:rFonts w:ascii="Avenir Book" w:hAnsi="Avenir Book"/>
              </w:rPr>
            </w:pPr>
            <w:r w:rsidRPr="00B8015B">
              <w:rPr>
                <w:rFonts w:ascii="Avenir Book" w:hAnsi="Avenir Book"/>
                <w:b/>
                <w:bCs/>
              </w:rPr>
              <w:t>Avoid inclusion event</w:t>
            </w:r>
          </w:p>
        </w:tc>
        <w:tc>
          <w:tcPr>
            <w:tcW w:w="4902" w:type="dxa"/>
          </w:tcPr>
          <w:p w14:paraId="1299ECB4" w14:textId="77777777" w:rsidR="005432B9" w:rsidRPr="00B8015B" w:rsidRDefault="00000000">
            <w:pPr>
              <w:pStyle w:val="Compact"/>
              <w:rPr>
                <w:rFonts w:ascii="Avenir Book" w:hAnsi="Avenir Book"/>
              </w:rPr>
            </w:pPr>
            <w:r w:rsidRPr="00B8015B">
              <w:rPr>
                <w:rFonts w:ascii="Avenir Book" w:hAnsi="Avenir Book"/>
              </w:rPr>
              <w:t>Award the QOF interest to the investing spouse – no transfer, no inclusion event</w:t>
            </w:r>
          </w:p>
        </w:tc>
      </w:tr>
      <w:tr w:rsidR="005432B9" w:rsidRPr="00B8015B" w14:paraId="332DA48C" w14:textId="77777777">
        <w:tc>
          <w:tcPr>
            <w:tcW w:w="3017" w:type="dxa"/>
          </w:tcPr>
          <w:p w14:paraId="30AE41DF" w14:textId="77777777" w:rsidR="005432B9" w:rsidRPr="00B8015B" w:rsidRDefault="00000000">
            <w:pPr>
              <w:pStyle w:val="Compact"/>
              <w:rPr>
                <w:rFonts w:ascii="Avenir Book" w:hAnsi="Avenir Book"/>
              </w:rPr>
            </w:pPr>
            <w:r w:rsidRPr="00B8015B">
              <w:rPr>
                <w:rFonts w:ascii="Avenir Book" w:hAnsi="Avenir Book"/>
                <w:b/>
                <w:bCs/>
              </w:rPr>
              <w:lastRenderedPageBreak/>
              <w:t>December 2026 recognition</w:t>
            </w:r>
          </w:p>
        </w:tc>
        <w:tc>
          <w:tcPr>
            <w:tcW w:w="4902" w:type="dxa"/>
          </w:tcPr>
          <w:p w14:paraId="2821C920" w14:textId="77777777" w:rsidR="005432B9" w:rsidRPr="00B8015B" w:rsidRDefault="00000000">
            <w:pPr>
              <w:pStyle w:val="Compact"/>
              <w:rPr>
                <w:rFonts w:ascii="Avenir Book" w:hAnsi="Avenir Book"/>
              </w:rPr>
            </w:pPr>
            <w:r w:rsidRPr="00B8015B">
              <w:rPr>
                <w:rFonts w:ascii="Avenir Book" w:hAnsi="Avenir Book"/>
              </w:rPr>
              <w:t>The mandatory recognition still occurs on December 31, 2026</w:t>
            </w:r>
          </w:p>
        </w:tc>
      </w:tr>
      <w:tr w:rsidR="005432B9" w:rsidRPr="00B8015B" w14:paraId="12C6C7E9" w14:textId="77777777">
        <w:tc>
          <w:tcPr>
            <w:tcW w:w="3017" w:type="dxa"/>
          </w:tcPr>
          <w:p w14:paraId="790E531E" w14:textId="77777777" w:rsidR="005432B9" w:rsidRPr="00B8015B" w:rsidRDefault="00000000">
            <w:pPr>
              <w:pStyle w:val="Compact"/>
              <w:rPr>
                <w:rFonts w:ascii="Avenir Book" w:hAnsi="Avenir Book"/>
              </w:rPr>
            </w:pPr>
            <w:r w:rsidRPr="00B8015B">
              <w:rPr>
                <w:rFonts w:ascii="Avenir Book" w:hAnsi="Avenir Book"/>
                <w:b/>
                <w:bCs/>
              </w:rPr>
              <w:t>Post-divorce filing</w:t>
            </w:r>
          </w:p>
        </w:tc>
        <w:tc>
          <w:tcPr>
            <w:tcW w:w="4902" w:type="dxa"/>
          </w:tcPr>
          <w:p w14:paraId="359791F2" w14:textId="77777777" w:rsidR="005432B9" w:rsidRPr="00B8015B" w:rsidRDefault="00000000">
            <w:pPr>
              <w:pStyle w:val="Compact"/>
              <w:rPr>
                <w:rFonts w:ascii="Avenir Book" w:hAnsi="Avenir Book"/>
              </w:rPr>
            </w:pPr>
            <w:r w:rsidRPr="00B8015B">
              <w:rPr>
                <w:rFonts w:ascii="Avenir Book" w:hAnsi="Avenir Book"/>
              </w:rPr>
              <w:t>Investing spouse files single and reports the entire deferred gain</w:t>
            </w:r>
          </w:p>
        </w:tc>
      </w:tr>
      <w:tr w:rsidR="005432B9" w:rsidRPr="00B8015B" w14:paraId="2E3511BE" w14:textId="77777777">
        <w:tc>
          <w:tcPr>
            <w:tcW w:w="3017" w:type="dxa"/>
          </w:tcPr>
          <w:p w14:paraId="6EEFE4B2" w14:textId="77777777" w:rsidR="005432B9" w:rsidRPr="00B8015B" w:rsidRDefault="00000000">
            <w:pPr>
              <w:pStyle w:val="Compact"/>
              <w:rPr>
                <w:rFonts w:ascii="Avenir Book" w:hAnsi="Avenir Book"/>
              </w:rPr>
            </w:pPr>
            <w:r w:rsidRPr="00B8015B">
              <w:rPr>
                <w:rFonts w:ascii="Avenir Book" w:hAnsi="Avenir Book"/>
                <w:b/>
                <w:bCs/>
              </w:rPr>
              <w:t>Offset in division</w:t>
            </w:r>
          </w:p>
        </w:tc>
        <w:tc>
          <w:tcPr>
            <w:tcW w:w="4902" w:type="dxa"/>
          </w:tcPr>
          <w:p w14:paraId="04258391" w14:textId="77777777" w:rsidR="005432B9" w:rsidRPr="00B8015B" w:rsidRDefault="00000000">
            <w:pPr>
              <w:pStyle w:val="Compact"/>
              <w:rPr>
                <w:rFonts w:ascii="Avenir Book" w:hAnsi="Avenir Book"/>
              </w:rPr>
            </w:pPr>
            <w:r w:rsidRPr="00B8015B">
              <w:rPr>
                <w:rFonts w:ascii="Avenir Book" w:hAnsi="Avenir Book"/>
              </w:rPr>
              <w:t>The division accounts for the embedded tax liability by awarding the non-investing spouse a larger share of other assets</w:t>
            </w:r>
          </w:p>
        </w:tc>
      </w:tr>
    </w:tbl>
    <w:p w14:paraId="44F6651D" w14:textId="77777777" w:rsidR="005432B9" w:rsidRPr="00B8015B" w:rsidRDefault="00000000">
      <w:pPr>
        <w:pStyle w:val="Heading3"/>
        <w:rPr>
          <w:rFonts w:ascii="Avenir Book" w:hAnsi="Avenir Book"/>
        </w:rPr>
      </w:pPr>
      <w:bookmarkStart w:id="22" w:name="recommended-approach"/>
      <w:bookmarkEnd w:id="21"/>
      <w:r w:rsidRPr="00B8015B">
        <w:rPr>
          <w:rFonts w:ascii="Avenir Book" w:hAnsi="Avenir Book"/>
        </w:rPr>
        <w:t>RECOMMENDED APPROACH</w:t>
      </w:r>
    </w:p>
    <w:p w14:paraId="3B91E120" w14:textId="77777777" w:rsidR="005432B9" w:rsidRPr="00B8015B" w:rsidRDefault="00000000">
      <w:pPr>
        <w:pStyle w:val="FirstParagraph"/>
        <w:rPr>
          <w:rFonts w:ascii="Avenir Book" w:hAnsi="Avenir Book"/>
        </w:rPr>
      </w:pPr>
      <w:r w:rsidRPr="00B8015B">
        <w:rPr>
          <w:rFonts w:ascii="Avenir Book" w:hAnsi="Avenir Book"/>
          <w:b/>
          <w:bCs/>
        </w:rPr>
        <w:t>Option C is generally optimal</w:t>
      </w:r>
      <w:r w:rsidRPr="00B8015B">
        <w:rPr>
          <w:rFonts w:ascii="Avenir Book" w:hAnsi="Avenir Book"/>
        </w:rPr>
        <w:t xml:space="preserve"> in a collaborative setting:</w:t>
      </w:r>
    </w:p>
    <w:p w14:paraId="66766F6D" w14:textId="77777777" w:rsidR="005432B9" w:rsidRPr="00B8015B" w:rsidRDefault="00000000">
      <w:pPr>
        <w:pStyle w:val="Compact"/>
        <w:numPr>
          <w:ilvl w:val="0"/>
          <w:numId w:val="12"/>
        </w:numPr>
        <w:rPr>
          <w:rFonts w:ascii="Avenir Book" w:hAnsi="Avenir Book"/>
        </w:rPr>
      </w:pPr>
      <w:r w:rsidRPr="00B8015B">
        <w:rPr>
          <w:rFonts w:ascii="Avenir Book" w:hAnsi="Avenir Book"/>
        </w:rPr>
        <w:t>Award the QOF interest to the investing spouse (no transfer, no premature inclusion event)</w:t>
      </w:r>
    </w:p>
    <w:p w14:paraId="689D8A87" w14:textId="77777777" w:rsidR="005432B9" w:rsidRPr="00B8015B" w:rsidRDefault="00000000">
      <w:pPr>
        <w:pStyle w:val="Compact"/>
        <w:numPr>
          <w:ilvl w:val="0"/>
          <w:numId w:val="12"/>
        </w:numPr>
        <w:rPr>
          <w:rFonts w:ascii="Avenir Book" w:hAnsi="Avenir Book"/>
        </w:rPr>
      </w:pPr>
      <w:r w:rsidRPr="00B8015B">
        <w:rPr>
          <w:rFonts w:ascii="Avenir Book" w:hAnsi="Avenir Book"/>
        </w:rPr>
        <w:t>Value the QOF interest on a net-of-tax basis (FMV minus embedded tax liability)</w:t>
      </w:r>
    </w:p>
    <w:p w14:paraId="7ED84663" w14:textId="77777777" w:rsidR="005432B9" w:rsidRPr="00B8015B" w:rsidRDefault="00000000">
      <w:pPr>
        <w:pStyle w:val="Compact"/>
        <w:numPr>
          <w:ilvl w:val="0"/>
          <w:numId w:val="12"/>
        </w:numPr>
        <w:rPr>
          <w:rFonts w:ascii="Avenir Book" w:hAnsi="Avenir Book"/>
        </w:rPr>
      </w:pPr>
      <w:r w:rsidRPr="00B8015B">
        <w:rPr>
          <w:rFonts w:ascii="Avenir Book" w:hAnsi="Avenir Book"/>
        </w:rPr>
        <w:t>Offset the reduced value with a larger share of other community assets to the non-investing spouse</w:t>
      </w:r>
    </w:p>
    <w:p w14:paraId="4A115301" w14:textId="77777777" w:rsidR="005432B9" w:rsidRPr="00B8015B" w:rsidRDefault="00000000">
      <w:pPr>
        <w:pStyle w:val="Compact"/>
        <w:numPr>
          <w:ilvl w:val="0"/>
          <w:numId w:val="12"/>
        </w:numPr>
        <w:rPr>
          <w:rFonts w:ascii="Avenir Book" w:hAnsi="Avenir Book"/>
        </w:rPr>
      </w:pPr>
      <w:r w:rsidRPr="00B8015B">
        <w:rPr>
          <w:rFonts w:ascii="Avenir Book" w:hAnsi="Avenir Book"/>
        </w:rPr>
        <w:t>The investing spouse bears the December 2026 tax hit but retains any remaining QOZ benefits (e.g., the 10-year exclusion under Section 1400Z-2(c) if applicable)</w:t>
      </w:r>
    </w:p>
    <w:p w14:paraId="15AA1DC4" w14:textId="77777777" w:rsidR="005432B9" w:rsidRPr="00B8015B" w:rsidRDefault="00000000">
      <w:pPr>
        <w:pStyle w:val="Compact"/>
        <w:numPr>
          <w:ilvl w:val="0"/>
          <w:numId w:val="12"/>
        </w:numPr>
        <w:rPr>
          <w:rFonts w:ascii="Avenir Book" w:hAnsi="Avenir Book"/>
        </w:rPr>
      </w:pPr>
      <w:r w:rsidRPr="00B8015B">
        <w:rPr>
          <w:rFonts w:ascii="Avenir Book" w:hAnsi="Avenir Book"/>
        </w:rPr>
        <w:t>Include robust indemnification provisions in the decree</w:t>
      </w:r>
    </w:p>
    <w:p w14:paraId="3A4497DC" w14:textId="77777777" w:rsidR="005432B9" w:rsidRPr="00B8015B" w:rsidRDefault="00000000">
      <w:pPr>
        <w:pStyle w:val="FirstParagraph"/>
        <w:rPr>
          <w:rFonts w:ascii="Avenir Book" w:hAnsi="Avenir Book"/>
        </w:rPr>
      </w:pPr>
      <w:r w:rsidRPr="00B8015B">
        <w:rPr>
          <w:rFonts w:ascii="Avenir Book" w:hAnsi="Avenir Book"/>
          <w:b/>
          <w:bCs/>
        </w:rPr>
        <w:t>If Option B is chosen (delay divorce):</w:t>
      </w:r>
    </w:p>
    <w:p w14:paraId="74829A7A" w14:textId="77777777" w:rsidR="005432B9" w:rsidRPr="00B8015B" w:rsidRDefault="00000000">
      <w:pPr>
        <w:pStyle w:val="BodyText"/>
        <w:rPr>
          <w:rFonts w:ascii="Avenir Book" w:hAnsi="Avenir Book"/>
        </w:rPr>
      </w:pPr>
      <w:r w:rsidRPr="00B8015B">
        <w:rPr>
          <w:rFonts w:ascii="Avenir Book" w:hAnsi="Avenir Book"/>
        </w:rPr>
        <w:t>The parties cannot file jointly for 2026 if divorced at any point during 2026. Under IRC Section 6013, married filing jointly requires that the taxpayers be married as of December 31 of the tax year. Therefore, if the goal is joint filing for 2026, the divorce must not be finalized until January 1, 2027 or later.</w:t>
      </w:r>
    </w:p>
    <w:p w14:paraId="516D2611" w14:textId="77777777" w:rsidR="005432B9" w:rsidRPr="00B8015B" w:rsidRDefault="00000000">
      <w:pPr>
        <w:pStyle w:val="Heading3"/>
        <w:rPr>
          <w:rFonts w:ascii="Avenir Book" w:hAnsi="Avenir Book"/>
        </w:rPr>
      </w:pPr>
      <w:bookmarkStart w:id="23" w:name="X65bf4bc1d5723d1544a106cb67d18bd5e1d32c1"/>
      <w:bookmarkEnd w:id="22"/>
      <w:r w:rsidRPr="00B8015B">
        <w:rPr>
          <w:rFonts w:ascii="Avenir Book" w:hAnsi="Avenir Book"/>
        </w:rPr>
        <w:t>Can Parties Agree to File Jointly for 2026 Even If Divorced?</w:t>
      </w:r>
    </w:p>
    <w:p w14:paraId="635A3BA8" w14:textId="77777777" w:rsidR="005432B9" w:rsidRPr="00B8015B" w:rsidRDefault="00000000">
      <w:pPr>
        <w:pStyle w:val="FirstParagraph"/>
        <w:rPr>
          <w:rFonts w:ascii="Avenir Book" w:hAnsi="Avenir Book"/>
        </w:rPr>
      </w:pPr>
      <w:r w:rsidRPr="00B8015B">
        <w:rPr>
          <w:rFonts w:ascii="Avenir Book" w:hAnsi="Avenir Book"/>
          <w:b/>
          <w:bCs/>
        </w:rPr>
        <w:t>No.</w:t>
      </w:r>
      <w:r w:rsidRPr="00B8015B">
        <w:rPr>
          <w:rFonts w:ascii="Avenir Book" w:hAnsi="Avenir Book"/>
        </w:rPr>
        <w:t xml:space="preserve"> Under IRC Section 6013(a), a joint return can only be filed by individuals who are married at the close of the taxable year. If the divorce is final before December 31, 2026, the parties </w:t>
      </w:r>
      <w:r w:rsidRPr="00B8015B">
        <w:rPr>
          <w:rFonts w:ascii="Avenir Book" w:hAnsi="Avenir Book"/>
          <w:b/>
          <w:bCs/>
        </w:rPr>
        <w:t>cannot</w:t>
      </w:r>
      <w:r w:rsidRPr="00B8015B">
        <w:rPr>
          <w:rFonts w:ascii="Avenir Book" w:hAnsi="Avenir Book"/>
        </w:rPr>
        <w:t xml:space="preserve"> file a joint return for 2026, regardless of any agreement between them. This is a statutory prohibition, not a matter of election.</w:t>
      </w:r>
    </w:p>
    <w:p w14:paraId="17AF81F0" w14:textId="77777777" w:rsidR="005432B9" w:rsidRPr="00B8015B" w:rsidRDefault="00000000">
      <w:pPr>
        <w:pStyle w:val="BodyText"/>
        <w:rPr>
          <w:rFonts w:ascii="Avenir Book" w:hAnsi="Avenir Book"/>
        </w:rPr>
      </w:pPr>
      <w:r w:rsidRPr="00B8015B">
        <w:rPr>
          <w:rFonts w:ascii="Avenir Book" w:hAnsi="Avenir Book"/>
          <w:b/>
          <w:bCs/>
        </w:rPr>
        <w:t>Exception:</w:t>
      </w:r>
      <w:r w:rsidRPr="00B8015B">
        <w:rPr>
          <w:rFonts w:ascii="Avenir Book" w:hAnsi="Avenir Book"/>
        </w:rPr>
        <w:t xml:space="preserve"> If the divorce is not final until 2027, the parties are considered married for all of 2026 and may file jointly.</w:t>
      </w:r>
    </w:p>
    <w:p w14:paraId="431888DD" w14:textId="77777777" w:rsidR="005432B9" w:rsidRPr="00B8015B" w:rsidRDefault="00000000">
      <w:pPr>
        <w:pStyle w:val="Heading3"/>
        <w:rPr>
          <w:rFonts w:ascii="Avenir Book" w:hAnsi="Avenir Book"/>
        </w:rPr>
      </w:pPr>
      <w:bookmarkStart w:id="24" w:name="re-deferral-strategy"/>
      <w:bookmarkEnd w:id="23"/>
      <w:r w:rsidRPr="00B8015B">
        <w:rPr>
          <w:rFonts w:ascii="Avenir Book" w:hAnsi="Avenir Book"/>
        </w:rPr>
        <w:t>Re-Deferral Strategy</w:t>
      </w:r>
    </w:p>
    <w:p w14:paraId="1F47545D" w14:textId="77777777" w:rsidR="005432B9" w:rsidRPr="00B8015B" w:rsidRDefault="00000000">
      <w:pPr>
        <w:pStyle w:val="FirstParagraph"/>
        <w:rPr>
          <w:rFonts w:ascii="Avenir Book" w:hAnsi="Avenir Book"/>
        </w:rPr>
      </w:pPr>
      <w:r w:rsidRPr="00B8015B">
        <w:rPr>
          <w:rFonts w:ascii="Avenir Book" w:hAnsi="Avenir Book"/>
        </w:rPr>
        <w:t>Under current guidance (BDO, Tax Adviser publications), it may be possible to: 1. Sell the QOF interest BEFORE December 31, 2026 2. Reinvest the gain into a NEW QOF within 180 days 3. Potentially secure up to 5 additional years of deferral plus a new 10% basis step-up</w:t>
      </w:r>
    </w:p>
    <w:p w14:paraId="0E7C319B" w14:textId="77777777" w:rsidR="005432B9" w:rsidRPr="00B8015B" w:rsidRDefault="00000000">
      <w:pPr>
        <w:pStyle w:val="BodyText"/>
        <w:rPr>
          <w:rFonts w:ascii="Avenir Book" w:hAnsi="Avenir Book"/>
        </w:rPr>
      </w:pPr>
      <w:r w:rsidRPr="00B8015B">
        <w:rPr>
          <w:rFonts w:ascii="Avenir Book" w:hAnsi="Avenir Book"/>
          <w:b/>
          <w:bCs/>
        </w:rPr>
        <w:lastRenderedPageBreak/>
        <w:t>Caveat:</w:t>
      </w:r>
      <w:r w:rsidRPr="00B8015B">
        <w:rPr>
          <w:rFonts w:ascii="Avenir Book" w:hAnsi="Avenir Book"/>
        </w:rPr>
        <w:t xml:space="preserve"> This strategy requires careful coordination and may have complications in the divorce context if the QOF interest is subject to division.</w:t>
      </w:r>
    </w:p>
    <w:p w14:paraId="4D87B52A" w14:textId="77777777" w:rsidR="005432B9" w:rsidRPr="00B8015B" w:rsidRDefault="00286CC4">
      <w:pPr>
        <w:rPr>
          <w:rFonts w:ascii="Avenir Book" w:hAnsi="Avenir Book"/>
        </w:rPr>
      </w:pPr>
      <w:r w:rsidRPr="00286CC4">
        <w:rPr>
          <w:rFonts w:ascii="Avenir Book" w:hAnsi="Avenir Book"/>
          <w:noProof/>
        </w:rPr>
        <w:pict w14:anchorId="1C23FE32">
          <v:rect id="_x0000_i1035" alt="" style="width:468pt;height:.05pt;mso-width-percent:0;mso-height-percent:0;mso-width-percent:0;mso-height-percent:0" o:hralign="center" o:hrstd="t" o:hr="t"/>
        </w:pict>
      </w:r>
    </w:p>
    <w:p w14:paraId="6A3DEC63" w14:textId="77777777" w:rsidR="005432B9" w:rsidRPr="00B8015B" w:rsidRDefault="00000000">
      <w:pPr>
        <w:pStyle w:val="Heading2"/>
        <w:rPr>
          <w:rFonts w:ascii="Avenir Book" w:hAnsi="Avenir Book"/>
        </w:rPr>
      </w:pPr>
      <w:bookmarkStart w:id="25" w:name="collaborative-divorce-context"/>
      <w:bookmarkEnd w:id="19"/>
      <w:bookmarkEnd w:id="24"/>
      <w:r w:rsidRPr="00B8015B">
        <w:rPr>
          <w:rFonts w:ascii="Avenir Book" w:hAnsi="Avenir Book"/>
        </w:rPr>
        <w:t>5. Collaborative Divorce Context</w:t>
      </w:r>
    </w:p>
    <w:p w14:paraId="64A293E3" w14:textId="77777777" w:rsidR="005432B9" w:rsidRPr="00B8015B" w:rsidRDefault="00000000">
      <w:pPr>
        <w:pStyle w:val="Heading3"/>
        <w:rPr>
          <w:rFonts w:ascii="Avenir Book" w:hAnsi="Avenir Book"/>
        </w:rPr>
      </w:pPr>
      <w:bookmarkStart w:id="26" w:name="X0e6f022e2cea3a2f7895f5720acb55e72fb36d5"/>
      <w:r w:rsidRPr="00B8015B">
        <w:rPr>
          <w:rFonts w:ascii="Avenir Book" w:hAnsi="Avenir Book"/>
        </w:rPr>
        <w:t>Financial Neutral (CDFA) Presentation of QOZ Issues</w:t>
      </w:r>
    </w:p>
    <w:p w14:paraId="4C106A51" w14:textId="77777777" w:rsidR="005432B9" w:rsidRPr="00B8015B" w:rsidRDefault="00000000">
      <w:pPr>
        <w:pStyle w:val="FirstParagraph"/>
        <w:rPr>
          <w:rFonts w:ascii="Avenir Book" w:hAnsi="Avenir Book"/>
        </w:rPr>
      </w:pPr>
      <w:r w:rsidRPr="00B8015B">
        <w:rPr>
          <w:rFonts w:ascii="Avenir Book" w:hAnsi="Avenir Book"/>
        </w:rPr>
        <w:t>The financial neutral plays a critical role in translating complex QOZ tax issues for both parties. Best practices:</w:t>
      </w:r>
    </w:p>
    <w:p w14:paraId="2CCB931F" w14:textId="77777777" w:rsidR="005432B9" w:rsidRPr="00B8015B" w:rsidRDefault="00000000">
      <w:pPr>
        <w:pStyle w:val="BodyText"/>
        <w:rPr>
          <w:rFonts w:ascii="Avenir Book" w:hAnsi="Avenir Book"/>
        </w:rPr>
      </w:pPr>
      <w:r w:rsidRPr="00B8015B">
        <w:rPr>
          <w:rFonts w:ascii="Avenir Book" w:hAnsi="Avenir Book"/>
          <w:b/>
          <w:bCs/>
        </w:rPr>
        <w:t>1. Education Phase:</w:t>
      </w:r>
      <w:r w:rsidRPr="00B8015B">
        <w:rPr>
          <w:rFonts w:ascii="Avenir Book" w:hAnsi="Avenir Book"/>
        </w:rPr>
        <w:t xml:space="preserve"> - Explain the QOZ program in plain language: “This investment deferred a capital gains tax bill that MUST be paid by December 31, 2026” - Use visual aids showing the timeline: original gain –&gt; deferral –&gt; mandatory recognition date - Quantify the “tax bomb”: “The deferred gain of $X will generate approximately $Y in federal tax” - Explain why the QOF interest’s face value overstates its true economic value</w:t>
      </w:r>
    </w:p>
    <w:p w14:paraId="18D7E31B" w14:textId="77777777" w:rsidR="005432B9" w:rsidRPr="00B8015B" w:rsidRDefault="00000000">
      <w:pPr>
        <w:pStyle w:val="BodyText"/>
        <w:rPr>
          <w:rFonts w:ascii="Avenir Book" w:hAnsi="Avenir Book"/>
        </w:rPr>
      </w:pPr>
      <w:r w:rsidRPr="00B8015B">
        <w:rPr>
          <w:rFonts w:ascii="Avenir Book" w:hAnsi="Avenir Book"/>
          <w:b/>
          <w:bCs/>
        </w:rPr>
        <w:t>2. Disclosure Requirements:</w:t>
      </w:r>
      <w:r w:rsidRPr="00B8015B">
        <w:rPr>
          <w:rFonts w:ascii="Avenir Book" w:hAnsi="Avenir Book"/>
        </w:rPr>
        <w:t xml:space="preserve"> Full financial disclosure is a cornerstone of collaborative practice. Required disclosures for QOZ investments include: - Original asset that generated the capital gain (RSU sale documentation) - Capital gains tax return from the year of the QOF investment (Form 8949, Schedule D) - QOF subscription agreement and all amendments - Annual K-1s from the QOF showing the Section 1400Z-2 deferral - Current QOF valuation (audited financial statements, NAV reports) - QOF’s underlying real property or business assets - Any distributions received from the QOF - Current FMV appraisal of the QOF interest</w:t>
      </w:r>
    </w:p>
    <w:p w14:paraId="2D304A4B" w14:textId="77777777" w:rsidR="005432B9" w:rsidRPr="00B8015B" w:rsidRDefault="00000000">
      <w:pPr>
        <w:pStyle w:val="BodyText"/>
        <w:rPr>
          <w:rFonts w:ascii="Avenir Book" w:hAnsi="Avenir Book"/>
        </w:rPr>
      </w:pPr>
      <w:r w:rsidRPr="00B8015B">
        <w:rPr>
          <w:rFonts w:ascii="Avenir Book" w:hAnsi="Avenir Book"/>
          <w:b/>
          <w:bCs/>
        </w:rPr>
        <w:t>3. Presentation Framework:</w:t>
      </w:r>
      <w:r w:rsidRPr="00B8015B">
        <w:rPr>
          <w:rFonts w:ascii="Avenir Book" w:hAnsi="Avenir Book"/>
        </w:rPr>
        <w:t xml:space="preserve"> The CDFA should present a side-by-side comparison:</w:t>
      </w:r>
    </w:p>
    <w:tbl>
      <w:tblPr>
        <w:tblStyle w:val="Table"/>
        <w:tblW w:w="5000" w:type="pct"/>
        <w:tblLayout w:type="fixed"/>
        <w:tblLook w:val="0020" w:firstRow="1" w:lastRow="0" w:firstColumn="0" w:lastColumn="0" w:noHBand="0" w:noVBand="0"/>
      </w:tblPr>
      <w:tblGrid>
        <w:gridCol w:w="1680"/>
        <w:gridCol w:w="3696"/>
        <w:gridCol w:w="1680"/>
        <w:gridCol w:w="2520"/>
      </w:tblGrid>
      <w:tr w:rsidR="005432B9" w:rsidRPr="00B8015B" w14:paraId="0C219A9C" w14:textId="77777777" w:rsidTr="005432B9">
        <w:trPr>
          <w:cnfStyle w:val="100000000000" w:firstRow="1" w:lastRow="0" w:firstColumn="0" w:lastColumn="0" w:oddVBand="0" w:evenVBand="0" w:oddHBand="0" w:evenHBand="0" w:firstRowFirstColumn="0" w:firstRowLastColumn="0" w:lastRowFirstColumn="0" w:lastRowLastColumn="0"/>
          <w:tblHeader/>
        </w:trPr>
        <w:tc>
          <w:tcPr>
            <w:tcW w:w="1389" w:type="dxa"/>
          </w:tcPr>
          <w:p w14:paraId="309EDDAA" w14:textId="77777777" w:rsidR="005432B9" w:rsidRPr="00B8015B" w:rsidRDefault="00000000">
            <w:pPr>
              <w:pStyle w:val="Compact"/>
              <w:rPr>
                <w:rFonts w:ascii="Avenir Book" w:hAnsi="Avenir Book"/>
              </w:rPr>
            </w:pPr>
            <w:r w:rsidRPr="00B8015B">
              <w:rPr>
                <w:rFonts w:ascii="Avenir Book" w:hAnsi="Avenir Book"/>
              </w:rPr>
              <w:t>Scenario</w:t>
            </w:r>
          </w:p>
        </w:tc>
        <w:tc>
          <w:tcPr>
            <w:tcW w:w="3056" w:type="dxa"/>
          </w:tcPr>
          <w:p w14:paraId="59AA81FF" w14:textId="77777777" w:rsidR="005432B9" w:rsidRPr="00B8015B" w:rsidRDefault="00000000">
            <w:pPr>
              <w:pStyle w:val="Compact"/>
              <w:rPr>
                <w:rFonts w:ascii="Avenir Book" w:hAnsi="Avenir Book"/>
              </w:rPr>
            </w:pPr>
            <w:r w:rsidRPr="00B8015B">
              <w:rPr>
                <w:rFonts w:ascii="Avenir Book" w:hAnsi="Avenir Book"/>
              </w:rPr>
              <w:t>Net Value to Community</w:t>
            </w:r>
          </w:p>
        </w:tc>
        <w:tc>
          <w:tcPr>
            <w:tcW w:w="1389" w:type="dxa"/>
          </w:tcPr>
          <w:p w14:paraId="7D49F929" w14:textId="77777777" w:rsidR="005432B9" w:rsidRPr="00B8015B" w:rsidRDefault="00000000">
            <w:pPr>
              <w:pStyle w:val="Compact"/>
              <w:rPr>
                <w:rFonts w:ascii="Avenir Book" w:hAnsi="Avenir Book"/>
              </w:rPr>
            </w:pPr>
            <w:r w:rsidRPr="00B8015B">
              <w:rPr>
                <w:rFonts w:ascii="Avenir Book" w:hAnsi="Avenir Book"/>
              </w:rPr>
              <w:t>Tax Cost</w:t>
            </w:r>
          </w:p>
        </w:tc>
        <w:tc>
          <w:tcPr>
            <w:tcW w:w="2084" w:type="dxa"/>
          </w:tcPr>
          <w:p w14:paraId="19E89ED2" w14:textId="77777777" w:rsidR="005432B9" w:rsidRPr="00B8015B" w:rsidRDefault="00000000">
            <w:pPr>
              <w:pStyle w:val="Compact"/>
              <w:rPr>
                <w:rFonts w:ascii="Avenir Book" w:hAnsi="Avenir Book"/>
              </w:rPr>
            </w:pPr>
            <w:r w:rsidRPr="00B8015B">
              <w:rPr>
                <w:rFonts w:ascii="Avenir Book" w:hAnsi="Avenir Book"/>
              </w:rPr>
              <w:t>Who Bears Tax</w:t>
            </w:r>
          </w:p>
        </w:tc>
      </w:tr>
      <w:tr w:rsidR="005432B9" w:rsidRPr="00B8015B" w14:paraId="77FDDDA3" w14:textId="77777777">
        <w:tc>
          <w:tcPr>
            <w:tcW w:w="1389" w:type="dxa"/>
          </w:tcPr>
          <w:p w14:paraId="00350E9E" w14:textId="77777777" w:rsidR="005432B9" w:rsidRPr="00B8015B" w:rsidRDefault="00000000">
            <w:pPr>
              <w:pStyle w:val="Compact"/>
              <w:rPr>
                <w:rFonts w:ascii="Avenir Book" w:hAnsi="Avenir Book"/>
              </w:rPr>
            </w:pPr>
            <w:r w:rsidRPr="00B8015B">
              <w:rPr>
                <w:rFonts w:ascii="Avenir Book" w:hAnsi="Avenir Book"/>
              </w:rPr>
              <w:t>Award QOF to Husband (no transfer)</w:t>
            </w:r>
          </w:p>
        </w:tc>
        <w:tc>
          <w:tcPr>
            <w:tcW w:w="3056" w:type="dxa"/>
          </w:tcPr>
          <w:p w14:paraId="0E7E82DE" w14:textId="77777777" w:rsidR="005432B9" w:rsidRPr="00B8015B" w:rsidRDefault="00000000">
            <w:pPr>
              <w:pStyle w:val="Compact"/>
              <w:rPr>
                <w:rFonts w:ascii="Avenir Book" w:hAnsi="Avenir Book"/>
              </w:rPr>
            </w:pPr>
            <w:r w:rsidRPr="00B8015B">
              <w:rPr>
                <w:rFonts w:ascii="Avenir Book" w:hAnsi="Avenir Book"/>
              </w:rPr>
              <w:t>QOF FMV minus tax on deferred gain</w:t>
            </w:r>
          </w:p>
        </w:tc>
        <w:tc>
          <w:tcPr>
            <w:tcW w:w="1389" w:type="dxa"/>
          </w:tcPr>
          <w:p w14:paraId="266F2C5C" w14:textId="77777777" w:rsidR="005432B9" w:rsidRPr="00B8015B" w:rsidRDefault="00000000">
            <w:pPr>
              <w:pStyle w:val="Compact"/>
              <w:rPr>
                <w:rFonts w:ascii="Avenir Book" w:hAnsi="Avenir Book"/>
              </w:rPr>
            </w:pPr>
            <w:r w:rsidRPr="00B8015B">
              <w:rPr>
                <w:rFonts w:ascii="Avenir Book" w:hAnsi="Avenir Book"/>
              </w:rPr>
              <w:t>Husband pays 2026 tax</w:t>
            </w:r>
          </w:p>
        </w:tc>
        <w:tc>
          <w:tcPr>
            <w:tcW w:w="2084" w:type="dxa"/>
          </w:tcPr>
          <w:p w14:paraId="12057FA0" w14:textId="77777777" w:rsidR="005432B9" w:rsidRPr="00B8015B" w:rsidRDefault="00000000">
            <w:pPr>
              <w:pStyle w:val="Compact"/>
              <w:rPr>
                <w:rFonts w:ascii="Avenir Book" w:hAnsi="Avenir Book"/>
              </w:rPr>
            </w:pPr>
            <w:r w:rsidRPr="00B8015B">
              <w:rPr>
                <w:rFonts w:ascii="Avenir Book" w:hAnsi="Avenir Book"/>
              </w:rPr>
              <w:t>Husband</w:t>
            </w:r>
          </w:p>
        </w:tc>
      </w:tr>
      <w:tr w:rsidR="005432B9" w:rsidRPr="00B8015B" w14:paraId="70B4A54B" w14:textId="77777777">
        <w:tc>
          <w:tcPr>
            <w:tcW w:w="1389" w:type="dxa"/>
          </w:tcPr>
          <w:p w14:paraId="612C9F1D" w14:textId="77777777" w:rsidR="005432B9" w:rsidRPr="00B8015B" w:rsidRDefault="00000000">
            <w:pPr>
              <w:pStyle w:val="Compact"/>
              <w:rPr>
                <w:rFonts w:ascii="Avenir Book" w:hAnsi="Avenir Book"/>
              </w:rPr>
            </w:pPr>
            <w:r w:rsidRPr="00B8015B">
              <w:rPr>
                <w:rFonts w:ascii="Avenir Book" w:hAnsi="Avenir Book"/>
              </w:rPr>
              <w:t>Transfer QOF to Wife</w:t>
            </w:r>
          </w:p>
        </w:tc>
        <w:tc>
          <w:tcPr>
            <w:tcW w:w="3056" w:type="dxa"/>
          </w:tcPr>
          <w:p w14:paraId="07E100C4" w14:textId="77777777" w:rsidR="005432B9" w:rsidRPr="00B8015B" w:rsidRDefault="00000000">
            <w:pPr>
              <w:pStyle w:val="Compact"/>
              <w:rPr>
                <w:rFonts w:ascii="Avenir Book" w:hAnsi="Avenir Book"/>
              </w:rPr>
            </w:pPr>
            <w:r w:rsidRPr="00B8015B">
              <w:rPr>
                <w:rFonts w:ascii="Avenir Book" w:hAnsi="Avenir Book"/>
              </w:rPr>
              <w:t>Immediate inclusion event – gain recognized NOW</w:t>
            </w:r>
          </w:p>
        </w:tc>
        <w:tc>
          <w:tcPr>
            <w:tcW w:w="1389" w:type="dxa"/>
          </w:tcPr>
          <w:p w14:paraId="5DE721E3" w14:textId="77777777" w:rsidR="005432B9" w:rsidRPr="00B8015B" w:rsidRDefault="00000000">
            <w:pPr>
              <w:pStyle w:val="Compact"/>
              <w:rPr>
                <w:rFonts w:ascii="Avenir Book" w:hAnsi="Avenir Book"/>
              </w:rPr>
            </w:pPr>
            <w:r w:rsidRPr="00B8015B">
              <w:rPr>
                <w:rFonts w:ascii="Avenir Book" w:hAnsi="Avenir Book"/>
              </w:rPr>
              <w:t>Husband pays inclusion tax; Wife gets non-qualifying investment</w:t>
            </w:r>
          </w:p>
        </w:tc>
        <w:tc>
          <w:tcPr>
            <w:tcW w:w="2084" w:type="dxa"/>
          </w:tcPr>
          <w:p w14:paraId="070BF4A2" w14:textId="77777777" w:rsidR="005432B9" w:rsidRPr="00B8015B" w:rsidRDefault="00000000">
            <w:pPr>
              <w:pStyle w:val="Compact"/>
              <w:rPr>
                <w:rFonts w:ascii="Avenir Book" w:hAnsi="Avenir Book"/>
              </w:rPr>
            </w:pPr>
            <w:r w:rsidRPr="00B8015B">
              <w:rPr>
                <w:rFonts w:ascii="Avenir Book" w:hAnsi="Avenir Book"/>
              </w:rPr>
              <w:t>Husband (on gain); Wife (loses QOZ benefits)</w:t>
            </w:r>
          </w:p>
        </w:tc>
      </w:tr>
      <w:tr w:rsidR="005432B9" w:rsidRPr="00B8015B" w14:paraId="1A62E2BD" w14:textId="77777777">
        <w:tc>
          <w:tcPr>
            <w:tcW w:w="1389" w:type="dxa"/>
          </w:tcPr>
          <w:p w14:paraId="5D362229" w14:textId="77777777" w:rsidR="005432B9" w:rsidRPr="00B8015B" w:rsidRDefault="00000000">
            <w:pPr>
              <w:pStyle w:val="Compact"/>
              <w:rPr>
                <w:rFonts w:ascii="Avenir Book" w:hAnsi="Avenir Book"/>
              </w:rPr>
            </w:pPr>
            <w:r w:rsidRPr="00B8015B">
              <w:rPr>
                <w:rFonts w:ascii="Avenir Book" w:hAnsi="Avenir Book"/>
              </w:rPr>
              <w:t>Sell QOF, split proceeds</w:t>
            </w:r>
          </w:p>
        </w:tc>
        <w:tc>
          <w:tcPr>
            <w:tcW w:w="3056" w:type="dxa"/>
          </w:tcPr>
          <w:p w14:paraId="00C958BD" w14:textId="77777777" w:rsidR="005432B9" w:rsidRPr="00B8015B" w:rsidRDefault="00000000">
            <w:pPr>
              <w:pStyle w:val="Compact"/>
              <w:rPr>
                <w:rFonts w:ascii="Avenir Book" w:hAnsi="Avenir Book"/>
              </w:rPr>
            </w:pPr>
            <w:r w:rsidRPr="00B8015B">
              <w:rPr>
                <w:rFonts w:ascii="Avenir Book" w:hAnsi="Avenir Book"/>
              </w:rPr>
              <w:t>Sale triggers inclusion + capital gains on appreciation</w:t>
            </w:r>
          </w:p>
        </w:tc>
        <w:tc>
          <w:tcPr>
            <w:tcW w:w="1389" w:type="dxa"/>
          </w:tcPr>
          <w:p w14:paraId="475DF5F8" w14:textId="77777777" w:rsidR="005432B9" w:rsidRPr="00B8015B" w:rsidRDefault="00000000">
            <w:pPr>
              <w:pStyle w:val="Compact"/>
              <w:rPr>
                <w:rFonts w:ascii="Avenir Book" w:hAnsi="Avenir Book"/>
              </w:rPr>
            </w:pPr>
            <w:r w:rsidRPr="00B8015B">
              <w:rPr>
                <w:rFonts w:ascii="Avenir Book" w:hAnsi="Avenir Book"/>
              </w:rPr>
              <w:t>Split between parties</w:t>
            </w:r>
          </w:p>
        </w:tc>
        <w:tc>
          <w:tcPr>
            <w:tcW w:w="2084" w:type="dxa"/>
          </w:tcPr>
          <w:p w14:paraId="7AB2047B" w14:textId="77777777" w:rsidR="005432B9" w:rsidRPr="00B8015B" w:rsidRDefault="00000000">
            <w:pPr>
              <w:pStyle w:val="Compact"/>
              <w:rPr>
                <w:rFonts w:ascii="Avenir Book" w:hAnsi="Avenir Book"/>
              </w:rPr>
            </w:pPr>
            <w:r w:rsidRPr="00B8015B">
              <w:rPr>
                <w:rFonts w:ascii="Avenir Book" w:hAnsi="Avenir Book"/>
              </w:rPr>
              <w:t>Both</w:t>
            </w:r>
          </w:p>
        </w:tc>
      </w:tr>
      <w:tr w:rsidR="005432B9" w:rsidRPr="00B8015B" w14:paraId="38A506B7" w14:textId="77777777">
        <w:tc>
          <w:tcPr>
            <w:tcW w:w="1389" w:type="dxa"/>
          </w:tcPr>
          <w:p w14:paraId="5EA13078" w14:textId="77777777" w:rsidR="005432B9" w:rsidRPr="00B8015B" w:rsidRDefault="00000000">
            <w:pPr>
              <w:pStyle w:val="Compact"/>
              <w:rPr>
                <w:rFonts w:ascii="Avenir Book" w:hAnsi="Avenir Book"/>
              </w:rPr>
            </w:pPr>
            <w:r w:rsidRPr="00B8015B">
              <w:rPr>
                <w:rFonts w:ascii="Avenir Book" w:hAnsi="Avenir Book"/>
              </w:rPr>
              <w:t xml:space="preserve">Delay divorce to file jointly </w:t>
            </w:r>
            <w:r w:rsidRPr="00B8015B">
              <w:rPr>
                <w:rFonts w:ascii="Avenir Book" w:hAnsi="Avenir Book"/>
              </w:rPr>
              <w:lastRenderedPageBreak/>
              <w:t>for 2026</w:t>
            </w:r>
          </w:p>
        </w:tc>
        <w:tc>
          <w:tcPr>
            <w:tcW w:w="3056" w:type="dxa"/>
          </w:tcPr>
          <w:p w14:paraId="68CD5431" w14:textId="77777777" w:rsidR="005432B9" w:rsidRPr="00B8015B" w:rsidRDefault="00000000">
            <w:pPr>
              <w:pStyle w:val="Compact"/>
              <w:rPr>
                <w:rFonts w:ascii="Avenir Book" w:hAnsi="Avenir Book"/>
              </w:rPr>
            </w:pPr>
            <w:r w:rsidRPr="00B8015B">
              <w:rPr>
                <w:rFonts w:ascii="Avenir Book" w:hAnsi="Avenir Book"/>
              </w:rPr>
              <w:lastRenderedPageBreak/>
              <w:t>Joint filing saves $X in taxes</w:t>
            </w:r>
          </w:p>
        </w:tc>
        <w:tc>
          <w:tcPr>
            <w:tcW w:w="1389" w:type="dxa"/>
          </w:tcPr>
          <w:p w14:paraId="2823CB85" w14:textId="77777777" w:rsidR="005432B9" w:rsidRPr="00B8015B" w:rsidRDefault="00000000">
            <w:pPr>
              <w:pStyle w:val="Compact"/>
              <w:rPr>
                <w:rFonts w:ascii="Avenir Book" w:hAnsi="Avenir Book"/>
              </w:rPr>
            </w:pPr>
            <w:r w:rsidRPr="00B8015B">
              <w:rPr>
                <w:rFonts w:ascii="Avenir Book" w:hAnsi="Avenir Book"/>
              </w:rPr>
              <w:t>Shared</w:t>
            </w:r>
          </w:p>
        </w:tc>
        <w:tc>
          <w:tcPr>
            <w:tcW w:w="2084" w:type="dxa"/>
          </w:tcPr>
          <w:p w14:paraId="0043807E" w14:textId="77777777" w:rsidR="005432B9" w:rsidRPr="00B8015B" w:rsidRDefault="00000000">
            <w:pPr>
              <w:pStyle w:val="Compact"/>
              <w:rPr>
                <w:rFonts w:ascii="Avenir Book" w:hAnsi="Avenir Book"/>
              </w:rPr>
            </w:pPr>
            <w:r w:rsidRPr="00B8015B">
              <w:rPr>
                <w:rFonts w:ascii="Avenir Book" w:hAnsi="Avenir Book"/>
              </w:rPr>
              <w:t>Both</w:t>
            </w:r>
          </w:p>
        </w:tc>
      </w:tr>
    </w:tbl>
    <w:p w14:paraId="2DFF6304" w14:textId="77777777" w:rsidR="005432B9" w:rsidRPr="00B8015B" w:rsidRDefault="00000000">
      <w:pPr>
        <w:pStyle w:val="Heading3"/>
        <w:rPr>
          <w:rFonts w:ascii="Avenir Book" w:hAnsi="Avenir Book"/>
        </w:rPr>
      </w:pPr>
      <w:bookmarkStart w:id="27" w:name="X224e03ec50c61cc9a830eae74b3b8f036682a46"/>
      <w:bookmarkEnd w:id="26"/>
      <w:r w:rsidRPr="00B8015B">
        <w:rPr>
          <w:rFonts w:ascii="Avenir Book" w:hAnsi="Avenir Book"/>
        </w:rPr>
        <w:t>Handling the QOZ “Tax Bomb” in Settlement Negotiations</w:t>
      </w:r>
    </w:p>
    <w:p w14:paraId="39864BB9" w14:textId="77777777" w:rsidR="005432B9" w:rsidRPr="00B8015B" w:rsidRDefault="00000000">
      <w:pPr>
        <w:pStyle w:val="FirstParagraph"/>
        <w:rPr>
          <w:rFonts w:ascii="Avenir Book" w:hAnsi="Avenir Book"/>
        </w:rPr>
      </w:pPr>
      <w:r w:rsidRPr="00B8015B">
        <w:rPr>
          <w:rFonts w:ascii="Avenir Book" w:hAnsi="Avenir Book"/>
          <w:b/>
          <w:bCs/>
        </w:rPr>
        <w:t>Framework for collaborative team:</w:t>
      </w:r>
    </w:p>
    <w:p w14:paraId="7013C5AE" w14:textId="77777777" w:rsidR="005432B9" w:rsidRPr="00B8015B" w:rsidRDefault="00000000">
      <w:pPr>
        <w:pStyle w:val="Compact"/>
        <w:numPr>
          <w:ilvl w:val="0"/>
          <w:numId w:val="13"/>
        </w:numPr>
        <w:rPr>
          <w:rFonts w:ascii="Avenir Book" w:hAnsi="Avenir Book"/>
        </w:rPr>
      </w:pPr>
      <w:r w:rsidRPr="00B8015B">
        <w:rPr>
          <w:rFonts w:ascii="Avenir Book" w:hAnsi="Avenir Book"/>
          <w:b/>
          <w:bCs/>
        </w:rPr>
        <w:t>Quantify the liability</w:t>
      </w:r>
      <w:r w:rsidRPr="00B8015B">
        <w:rPr>
          <w:rFonts w:ascii="Avenir Book" w:hAnsi="Avenir Book"/>
        </w:rPr>
        <w:t>: Work with a CPA to calculate the exact deferred gain and projected tax liability at current rates</w:t>
      </w:r>
    </w:p>
    <w:p w14:paraId="41939D5F" w14:textId="77777777" w:rsidR="005432B9" w:rsidRPr="00B8015B" w:rsidRDefault="00000000">
      <w:pPr>
        <w:pStyle w:val="Compact"/>
        <w:numPr>
          <w:ilvl w:val="0"/>
          <w:numId w:val="13"/>
        </w:numPr>
        <w:rPr>
          <w:rFonts w:ascii="Avenir Book" w:hAnsi="Avenir Book"/>
        </w:rPr>
      </w:pPr>
      <w:r w:rsidRPr="00B8015B">
        <w:rPr>
          <w:rFonts w:ascii="Avenir Book" w:hAnsi="Avenir Book"/>
          <w:b/>
          <w:bCs/>
        </w:rPr>
        <w:t>Present net values</w:t>
      </w:r>
      <w:r w:rsidRPr="00B8015B">
        <w:rPr>
          <w:rFonts w:ascii="Avenir Book" w:hAnsi="Avenir Book"/>
        </w:rPr>
        <w:t>: Always discuss the QOF interest at its net-of-tax value, not its gross FMV</w:t>
      </w:r>
    </w:p>
    <w:p w14:paraId="57091469" w14:textId="77777777" w:rsidR="005432B9" w:rsidRPr="00B8015B" w:rsidRDefault="00000000">
      <w:pPr>
        <w:pStyle w:val="Compact"/>
        <w:numPr>
          <w:ilvl w:val="0"/>
          <w:numId w:val="13"/>
        </w:numPr>
        <w:rPr>
          <w:rFonts w:ascii="Avenir Book" w:hAnsi="Avenir Book"/>
        </w:rPr>
      </w:pPr>
      <w:r w:rsidRPr="00B8015B">
        <w:rPr>
          <w:rFonts w:ascii="Avenir Book" w:hAnsi="Avenir Book"/>
          <w:b/>
          <w:bCs/>
        </w:rPr>
        <w:t>Explore timing options</w:t>
      </w:r>
      <w:r w:rsidRPr="00B8015B">
        <w:rPr>
          <w:rFonts w:ascii="Avenir Book" w:hAnsi="Avenir Book"/>
        </w:rPr>
        <w:t>: If the collaborative process timeline permits, consider whether delaying finalization past December 31, 2026 benefits both parties through joint filing</w:t>
      </w:r>
    </w:p>
    <w:p w14:paraId="1260E440" w14:textId="77777777" w:rsidR="005432B9" w:rsidRPr="00B8015B" w:rsidRDefault="00000000">
      <w:pPr>
        <w:pStyle w:val="Compact"/>
        <w:numPr>
          <w:ilvl w:val="0"/>
          <w:numId w:val="13"/>
        </w:numPr>
        <w:rPr>
          <w:rFonts w:ascii="Avenir Book" w:hAnsi="Avenir Book"/>
        </w:rPr>
      </w:pPr>
      <w:r w:rsidRPr="00B8015B">
        <w:rPr>
          <w:rFonts w:ascii="Avenir Book" w:hAnsi="Avenir Book"/>
          <w:b/>
          <w:bCs/>
        </w:rPr>
        <w:t>Creative offsets</w:t>
      </w:r>
      <w:r w:rsidRPr="00B8015B">
        <w:rPr>
          <w:rFonts w:ascii="Avenir Book" w:hAnsi="Avenir Book"/>
        </w:rPr>
        <w:t>: Identify other community assets that can offset the reduced net value of the QOF interest</w:t>
      </w:r>
    </w:p>
    <w:p w14:paraId="2A213881" w14:textId="77777777" w:rsidR="005432B9" w:rsidRPr="00B8015B" w:rsidRDefault="00000000">
      <w:pPr>
        <w:pStyle w:val="Compact"/>
        <w:numPr>
          <w:ilvl w:val="0"/>
          <w:numId w:val="13"/>
        </w:numPr>
        <w:rPr>
          <w:rFonts w:ascii="Avenir Book" w:hAnsi="Avenir Book"/>
        </w:rPr>
      </w:pPr>
      <w:r w:rsidRPr="00B8015B">
        <w:rPr>
          <w:rFonts w:ascii="Avenir Book" w:hAnsi="Avenir Book"/>
          <w:b/>
          <w:bCs/>
        </w:rPr>
        <w:t>Shared savings approach</w:t>
      </w:r>
      <w:r w:rsidRPr="00B8015B">
        <w:rPr>
          <w:rFonts w:ascii="Avenir Book" w:hAnsi="Avenir Book"/>
        </w:rPr>
        <w:t>: If joint filing for 2026 saves money, quantify the savings and discuss sharing that benefit as an incentive for cooperative timing</w:t>
      </w:r>
    </w:p>
    <w:p w14:paraId="57816AC1" w14:textId="77777777" w:rsidR="005432B9" w:rsidRPr="00B8015B" w:rsidRDefault="00000000">
      <w:pPr>
        <w:pStyle w:val="Heading3"/>
        <w:rPr>
          <w:rFonts w:ascii="Avenir Book" w:hAnsi="Avenir Book"/>
        </w:rPr>
      </w:pPr>
      <w:bookmarkStart w:id="28" w:name="creative-settlement-structures"/>
      <w:bookmarkEnd w:id="27"/>
      <w:r w:rsidRPr="00B8015B">
        <w:rPr>
          <w:rFonts w:ascii="Avenir Book" w:hAnsi="Avenir Book"/>
        </w:rPr>
        <w:t>Creative Settlement Structures</w:t>
      </w:r>
    </w:p>
    <w:p w14:paraId="1AE9494E" w14:textId="77777777" w:rsidR="005432B9" w:rsidRPr="00B8015B" w:rsidRDefault="00000000">
      <w:pPr>
        <w:pStyle w:val="FirstParagraph"/>
        <w:rPr>
          <w:rFonts w:ascii="Avenir Book" w:hAnsi="Avenir Book"/>
        </w:rPr>
      </w:pPr>
      <w:r w:rsidRPr="00B8015B">
        <w:rPr>
          <w:rFonts w:ascii="Avenir Book" w:hAnsi="Avenir Book"/>
          <w:b/>
          <w:bCs/>
        </w:rPr>
        <w:t>Structure 1: “Retain and Offset”</w:t>
      </w:r>
      <w:r w:rsidRPr="00B8015B">
        <w:rPr>
          <w:rFonts w:ascii="Avenir Book" w:hAnsi="Avenir Book"/>
        </w:rPr>
        <w:t xml:space="preserve"> - Husband retains QOF interest - QOF valued at net-of-tax amount - Wife receives offsetting assets equal to her community share of the net-of-tax value - Husband bears all tax consequences; indemnifies Wife</w:t>
      </w:r>
    </w:p>
    <w:p w14:paraId="02ADEAFD" w14:textId="77777777" w:rsidR="005432B9" w:rsidRPr="00B8015B" w:rsidRDefault="00000000">
      <w:pPr>
        <w:pStyle w:val="BodyText"/>
        <w:rPr>
          <w:rFonts w:ascii="Avenir Book" w:hAnsi="Avenir Book"/>
        </w:rPr>
      </w:pPr>
      <w:r w:rsidRPr="00B8015B">
        <w:rPr>
          <w:rFonts w:ascii="Avenir Book" w:hAnsi="Avenir Book"/>
          <w:b/>
          <w:bCs/>
        </w:rPr>
        <w:t>Structure 2: “Deferred Equalization”</w:t>
      </w:r>
      <w:r w:rsidRPr="00B8015B">
        <w:rPr>
          <w:rFonts w:ascii="Avenir Book" w:hAnsi="Avenir Book"/>
        </w:rPr>
        <w:t xml:space="preserve"> - Husband retains QOF interest - Parties agree to a deferred equalization payment - After December 2026 recognition event, Husband pays Wife an equalization amount based on the actual (not estimated) tax cost - This eliminates estimation risk but requires ongoing financial connection</w:t>
      </w:r>
    </w:p>
    <w:p w14:paraId="651CA17B" w14:textId="77777777" w:rsidR="005432B9" w:rsidRPr="00B8015B" w:rsidRDefault="00000000">
      <w:pPr>
        <w:pStyle w:val="BodyText"/>
        <w:rPr>
          <w:rFonts w:ascii="Avenir Book" w:hAnsi="Avenir Book"/>
        </w:rPr>
      </w:pPr>
      <w:r w:rsidRPr="00B8015B">
        <w:rPr>
          <w:rFonts w:ascii="Avenir Book" w:hAnsi="Avenir Book"/>
          <w:b/>
          <w:bCs/>
        </w:rPr>
        <w:t>Structure 3: “Joint Filing Cooperation”</w:t>
      </w:r>
      <w:r w:rsidRPr="00B8015B">
        <w:rPr>
          <w:rFonts w:ascii="Avenir Book" w:hAnsi="Avenir Book"/>
        </w:rPr>
        <w:t xml:space="preserve"> - Parties agree to delay finalization until January 2027 - File jointly for 2026, sharing the tax benefit of wider brackets - Allocate the joint filing tax savings proportionally - Finalize divorce in early 2027 with all QOZ issues resolved</w:t>
      </w:r>
    </w:p>
    <w:p w14:paraId="166BE705" w14:textId="77777777" w:rsidR="005432B9" w:rsidRPr="00B8015B" w:rsidRDefault="00000000">
      <w:pPr>
        <w:pStyle w:val="BodyText"/>
        <w:rPr>
          <w:rFonts w:ascii="Avenir Book" w:hAnsi="Avenir Book"/>
        </w:rPr>
      </w:pPr>
      <w:r w:rsidRPr="00B8015B">
        <w:rPr>
          <w:rFonts w:ascii="Avenir Book" w:hAnsi="Avenir Book"/>
          <w:b/>
          <w:bCs/>
        </w:rPr>
        <w:t>Structure 4: “Re-Deferral with Split”</w:t>
      </w:r>
      <w:r w:rsidRPr="00B8015B">
        <w:rPr>
          <w:rFonts w:ascii="Avenir Book" w:hAnsi="Avenir Book"/>
        </w:rPr>
        <w:t xml:space="preserve"> - Before finalization, Husband sells QOF interest and reinvests into new QOF (re-deferral) - New QOF interest is divided or offset in the decree - Extends the deferral window and potentially reduces overall tax burden - Requires careful coordination and tax counsel</w:t>
      </w:r>
    </w:p>
    <w:p w14:paraId="448A748C" w14:textId="77777777" w:rsidR="005432B9" w:rsidRPr="00B8015B" w:rsidRDefault="00286CC4">
      <w:pPr>
        <w:rPr>
          <w:rFonts w:ascii="Avenir Book" w:hAnsi="Avenir Book"/>
        </w:rPr>
      </w:pPr>
      <w:r w:rsidRPr="00286CC4">
        <w:rPr>
          <w:rFonts w:ascii="Avenir Book" w:hAnsi="Avenir Book"/>
          <w:noProof/>
        </w:rPr>
        <w:pict w14:anchorId="5F751EE2">
          <v:rect id="_x0000_i1034" alt="" style="width:468pt;height:.05pt;mso-width-percent:0;mso-height-percent:0;mso-width-percent:0;mso-height-percent:0" o:hralign="center" o:hrstd="t" o:hr="t"/>
        </w:pict>
      </w:r>
    </w:p>
    <w:p w14:paraId="0EA5EE83" w14:textId="77777777" w:rsidR="005432B9" w:rsidRPr="00B8015B" w:rsidRDefault="00000000">
      <w:pPr>
        <w:pStyle w:val="Heading2"/>
        <w:rPr>
          <w:rFonts w:ascii="Avenir Book" w:hAnsi="Avenir Book"/>
        </w:rPr>
      </w:pPr>
      <w:bookmarkStart w:id="29" w:name="X35ec9c4a098eaeaba04b953ed0de9347ab0c60d"/>
      <w:bookmarkEnd w:id="25"/>
      <w:bookmarkEnd w:id="28"/>
      <w:r w:rsidRPr="00B8015B">
        <w:rPr>
          <w:rFonts w:ascii="Avenir Book" w:hAnsi="Avenir Book"/>
        </w:rPr>
        <w:t>6. Practical Guidance for Texas Practitioners</w:t>
      </w:r>
    </w:p>
    <w:p w14:paraId="0EBBCE4A" w14:textId="77777777" w:rsidR="005432B9" w:rsidRPr="00B8015B" w:rsidRDefault="00000000">
      <w:pPr>
        <w:pStyle w:val="Heading3"/>
        <w:rPr>
          <w:rFonts w:ascii="Avenir Book" w:hAnsi="Avenir Book"/>
        </w:rPr>
      </w:pPr>
      <w:bookmarkStart w:id="30" w:name="X546a3331c6999aaa88c0c6c7e3f08d9a2155008"/>
      <w:r w:rsidRPr="00B8015B">
        <w:rPr>
          <w:rFonts w:ascii="Avenir Book" w:hAnsi="Avenir Book"/>
        </w:rPr>
        <w:t>Discovery/Disclosure Checklist for QOZ Investments</w:t>
      </w:r>
    </w:p>
    <w:p w14:paraId="55E5B749" w14:textId="77777777" w:rsidR="005432B9" w:rsidRPr="00B8015B" w:rsidRDefault="00000000">
      <w:pPr>
        <w:pStyle w:val="FirstParagraph"/>
        <w:rPr>
          <w:rFonts w:ascii="Avenir Book" w:hAnsi="Avenir Book"/>
        </w:rPr>
      </w:pPr>
      <w:r w:rsidRPr="00B8015B">
        <w:rPr>
          <w:rFonts w:ascii="Avenir Book" w:hAnsi="Avenir Book"/>
          <w:b/>
          <w:bCs/>
        </w:rPr>
        <w:t>Initial Identification:</w:t>
      </w:r>
      <w:r w:rsidRPr="00B8015B">
        <w:rPr>
          <w:rFonts w:ascii="Avenir Book" w:hAnsi="Avenir Book"/>
        </w:rPr>
        <w:t xml:space="preserve"> - [ ] Review tax returns (Forms 8949, 8997, Schedule D) for QOZ deferral elections - [ ] Review K-1s for QOF partnership/LLC income reporting - [ ] Review </w:t>
      </w:r>
      <w:r w:rsidRPr="00B8015B">
        <w:rPr>
          <w:rFonts w:ascii="Avenir Book" w:hAnsi="Avenir Book"/>
        </w:rPr>
        <w:lastRenderedPageBreak/>
        <w:t>financial statements for QOF/QOZ fund holdings - [ ] Inquire about any capital gains deferral strategies employed during marriage - [ ] Review brokerage statements for QOF investments - [ ] Check for any Form 8996 filings (QOF certification)</w:t>
      </w:r>
    </w:p>
    <w:p w14:paraId="68B55385" w14:textId="77777777" w:rsidR="005432B9" w:rsidRPr="00B8015B" w:rsidRDefault="00000000">
      <w:pPr>
        <w:pStyle w:val="BodyText"/>
        <w:rPr>
          <w:rFonts w:ascii="Avenir Book" w:hAnsi="Avenir Book"/>
        </w:rPr>
      </w:pPr>
      <w:r w:rsidRPr="00B8015B">
        <w:rPr>
          <w:rFonts w:ascii="Avenir Book" w:hAnsi="Avenir Book"/>
          <w:b/>
          <w:bCs/>
        </w:rPr>
        <w:t>Key Documents to Request:</w:t>
      </w:r>
      <w:r w:rsidRPr="00B8015B">
        <w:rPr>
          <w:rFonts w:ascii="Avenir Book" w:hAnsi="Avenir Book"/>
        </w:rPr>
        <w:t xml:space="preserve"> - [ ] QOF subscription agreement (and any amendments/side letters) - [ ] QOF private placement memorandum (PPM) or offering documents - [ ] QOF operating agreement or partnership agreement - [ ] Annual K-1s from the QOF for each year of investment - [ ] Form 8997 (Initial and Annual Statement of Qualified Opportunity Fund Investments) for each year - [ ] Form 8949 from the year of the original gain deferral election - [ ] Documentation of the original capital gain transaction (RSU sale records, brokerage confirmation) - [ ] Current QOF valuation (audited financials, NAV report, independent appraisal) - [ ] QOF’s underlying asset documentation (real property appraisals, business valuations) - [ ] Distribution history from the QOF - [ ] Correspondence with QOF manager regarding transfer restrictions, liquidity events - [ ] Any independent appraisals of the QOF interest</w:t>
      </w:r>
    </w:p>
    <w:p w14:paraId="0F51F3A8" w14:textId="77777777" w:rsidR="005432B9" w:rsidRPr="00B8015B" w:rsidRDefault="00000000">
      <w:pPr>
        <w:pStyle w:val="Heading3"/>
        <w:rPr>
          <w:rFonts w:ascii="Avenir Book" w:hAnsi="Avenir Book"/>
        </w:rPr>
      </w:pPr>
      <w:bookmarkStart w:id="31" w:name="expert-witnesses-needed"/>
      <w:bookmarkEnd w:id="30"/>
      <w:r w:rsidRPr="00B8015B">
        <w:rPr>
          <w:rFonts w:ascii="Avenir Book" w:hAnsi="Avenir Book"/>
        </w:rPr>
        <w:t>Expert Witnesses Needed</w:t>
      </w:r>
    </w:p>
    <w:tbl>
      <w:tblPr>
        <w:tblStyle w:val="Table"/>
        <w:tblW w:w="5000" w:type="pct"/>
        <w:tblLayout w:type="fixed"/>
        <w:tblLook w:val="0020" w:firstRow="1" w:lastRow="0" w:firstColumn="0" w:lastColumn="0" w:noHBand="0" w:noVBand="0"/>
      </w:tblPr>
      <w:tblGrid>
        <w:gridCol w:w="2641"/>
        <w:gridCol w:w="1981"/>
        <w:gridCol w:w="4954"/>
      </w:tblGrid>
      <w:tr w:rsidR="005432B9" w:rsidRPr="00B8015B" w14:paraId="6024207E" w14:textId="77777777" w:rsidTr="005432B9">
        <w:trPr>
          <w:cnfStyle w:val="100000000000" w:firstRow="1" w:lastRow="0" w:firstColumn="0" w:lastColumn="0" w:oddVBand="0" w:evenVBand="0" w:oddHBand="0" w:evenHBand="0" w:firstRowFirstColumn="0" w:firstRowLastColumn="0" w:lastRowFirstColumn="0" w:lastRowLastColumn="0"/>
          <w:tblHeader/>
        </w:trPr>
        <w:tc>
          <w:tcPr>
            <w:tcW w:w="2184" w:type="dxa"/>
          </w:tcPr>
          <w:p w14:paraId="55FD1B71" w14:textId="77777777" w:rsidR="005432B9" w:rsidRPr="00B8015B" w:rsidRDefault="00000000">
            <w:pPr>
              <w:pStyle w:val="Compact"/>
              <w:rPr>
                <w:rFonts w:ascii="Avenir Book" w:hAnsi="Avenir Book"/>
              </w:rPr>
            </w:pPr>
            <w:r w:rsidRPr="00B8015B">
              <w:rPr>
                <w:rFonts w:ascii="Avenir Book" w:hAnsi="Avenir Book"/>
              </w:rPr>
              <w:t>Expert</w:t>
            </w:r>
          </w:p>
        </w:tc>
        <w:tc>
          <w:tcPr>
            <w:tcW w:w="1638" w:type="dxa"/>
          </w:tcPr>
          <w:p w14:paraId="6A12ACB8" w14:textId="77777777" w:rsidR="005432B9" w:rsidRPr="00B8015B" w:rsidRDefault="00000000">
            <w:pPr>
              <w:pStyle w:val="Compact"/>
              <w:rPr>
                <w:rFonts w:ascii="Avenir Book" w:hAnsi="Avenir Book"/>
              </w:rPr>
            </w:pPr>
            <w:r w:rsidRPr="00B8015B">
              <w:rPr>
                <w:rFonts w:ascii="Avenir Book" w:hAnsi="Avenir Book"/>
              </w:rPr>
              <w:t>Role</w:t>
            </w:r>
          </w:p>
        </w:tc>
        <w:tc>
          <w:tcPr>
            <w:tcW w:w="4096" w:type="dxa"/>
          </w:tcPr>
          <w:p w14:paraId="6978F38C" w14:textId="77777777" w:rsidR="005432B9" w:rsidRPr="00B8015B" w:rsidRDefault="00000000">
            <w:pPr>
              <w:pStyle w:val="Compact"/>
              <w:rPr>
                <w:rFonts w:ascii="Avenir Book" w:hAnsi="Avenir Book"/>
              </w:rPr>
            </w:pPr>
            <w:r w:rsidRPr="00B8015B">
              <w:rPr>
                <w:rFonts w:ascii="Avenir Book" w:hAnsi="Avenir Book"/>
              </w:rPr>
              <w:t>Key Questions</w:t>
            </w:r>
          </w:p>
        </w:tc>
      </w:tr>
      <w:tr w:rsidR="005432B9" w:rsidRPr="00B8015B" w14:paraId="6509C873" w14:textId="77777777">
        <w:tc>
          <w:tcPr>
            <w:tcW w:w="2184" w:type="dxa"/>
          </w:tcPr>
          <w:p w14:paraId="64FF6B6C" w14:textId="77777777" w:rsidR="005432B9" w:rsidRPr="00B8015B" w:rsidRDefault="00000000">
            <w:pPr>
              <w:pStyle w:val="Compact"/>
              <w:rPr>
                <w:rFonts w:ascii="Avenir Book" w:hAnsi="Avenir Book"/>
              </w:rPr>
            </w:pPr>
            <w:r w:rsidRPr="00B8015B">
              <w:rPr>
                <w:rFonts w:ascii="Avenir Book" w:hAnsi="Avenir Book"/>
                <w:b/>
                <w:bCs/>
              </w:rPr>
              <w:t>CPA with QOZ experience</w:t>
            </w:r>
          </w:p>
        </w:tc>
        <w:tc>
          <w:tcPr>
            <w:tcW w:w="1638" w:type="dxa"/>
          </w:tcPr>
          <w:p w14:paraId="35C8EC6C" w14:textId="77777777" w:rsidR="005432B9" w:rsidRPr="00B8015B" w:rsidRDefault="00000000">
            <w:pPr>
              <w:pStyle w:val="Compact"/>
              <w:rPr>
                <w:rFonts w:ascii="Avenir Book" w:hAnsi="Avenir Book"/>
              </w:rPr>
            </w:pPr>
            <w:r w:rsidRPr="00B8015B">
              <w:rPr>
                <w:rFonts w:ascii="Avenir Book" w:hAnsi="Avenir Book"/>
              </w:rPr>
              <w:t>Calculate deferred gain, project tax liability, advise on timing strategies</w:t>
            </w:r>
          </w:p>
        </w:tc>
        <w:tc>
          <w:tcPr>
            <w:tcW w:w="4096" w:type="dxa"/>
          </w:tcPr>
          <w:p w14:paraId="7822AB12" w14:textId="77777777" w:rsidR="005432B9" w:rsidRPr="00B8015B" w:rsidRDefault="00000000">
            <w:pPr>
              <w:pStyle w:val="Compact"/>
              <w:rPr>
                <w:rFonts w:ascii="Avenir Book" w:hAnsi="Avenir Book"/>
              </w:rPr>
            </w:pPr>
            <w:r w:rsidRPr="00B8015B">
              <w:rPr>
                <w:rFonts w:ascii="Avenir Book" w:hAnsi="Avenir Book"/>
              </w:rPr>
              <w:t>What is the exact deferred gain? What is the projected tax at current rates? What are the timing options?</w:t>
            </w:r>
          </w:p>
        </w:tc>
      </w:tr>
      <w:tr w:rsidR="005432B9" w:rsidRPr="00B8015B" w14:paraId="44DFFB43" w14:textId="77777777">
        <w:tc>
          <w:tcPr>
            <w:tcW w:w="2184" w:type="dxa"/>
          </w:tcPr>
          <w:p w14:paraId="435BC7CF" w14:textId="77777777" w:rsidR="005432B9" w:rsidRPr="00B8015B" w:rsidRDefault="00000000">
            <w:pPr>
              <w:pStyle w:val="Compact"/>
              <w:rPr>
                <w:rFonts w:ascii="Avenir Book" w:hAnsi="Avenir Book"/>
              </w:rPr>
            </w:pPr>
            <w:r w:rsidRPr="00B8015B">
              <w:rPr>
                <w:rFonts w:ascii="Avenir Book" w:hAnsi="Avenir Book"/>
                <w:b/>
                <w:bCs/>
              </w:rPr>
              <w:t>Business valuator</w:t>
            </w:r>
          </w:p>
        </w:tc>
        <w:tc>
          <w:tcPr>
            <w:tcW w:w="1638" w:type="dxa"/>
          </w:tcPr>
          <w:p w14:paraId="330D167C" w14:textId="77777777" w:rsidR="005432B9" w:rsidRPr="00B8015B" w:rsidRDefault="00000000">
            <w:pPr>
              <w:pStyle w:val="Compact"/>
              <w:rPr>
                <w:rFonts w:ascii="Avenir Book" w:hAnsi="Avenir Book"/>
              </w:rPr>
            </w:pPr>
            <w:r w:rsidRPr="00B8015B">
              <w:rPr>
                <w:rFonts w:ascii="Avenir Book" w:hAnsi="Avenir Book"/>
              </w:rPr>
              <w:t>Value the QOF interest at FMV</w:t>
            </w:r>
          </w:p>
        </w:tc>
        <w:tc>
          <w:tcPr>
            <w:tcW w:w="4096" w:type="dxa"/>
          </w:tcPr>
          <w:p w14:paraId="18245510" w14:textId="77777777" w:rsidR="005432B9" w:rsidRPr="00B8015B" w:rsidRDefault="00000000">
            <w:pPr>
              <w:pStyle w:val="Compact"/>
              <w:rPr>
                <w:rFonts w:ascii="Avenir Book" w:hAnsi="Avenir Book"/>
              </w:rPr>
            </w:pPr>
            <w:r w:rsidRPr="00B8015B">
              <w:rPr>
                <w:rFonts w:ascii="Avenir Book" w:hAnsi="Avenir Book"/>
              </w:rPr>
              <w:t>What is the current FMV of the QOF interest? What liquidity discounts apply? What is the net-of-tax value?</w:t>
            </w:r>
          </w:p>
        </w:tc>
      </w:tr>
      <w:tr w:rsidR="005432B9" w:rsidRPr="00B8015B" w14:paraId="2D4E5AE9" w14:textId="77777777">
        <w:tc>
          <w:tcPr>
            <w:tcW w:w="2184" w:type="dxa"/>
          </w:tcPr>
          <w:p w14:paraId="5FB718DF" w14:textId="77777777" w:rsidR="005432B9" w:rsidRPr="00B8015B" w:rsidRDefault="00000000">
            <w:pPr>
              <w:pStyle w:val="Compact"/>
              <w:rPr>
                <w:rFonts w:ascii="Avenir Book" w:hAnsi="Avenir Book"/>
              </w:rPr>
            </w:pPr>
            <w:r w:rsidRPr="00B8015B">
              <w:rPr>
                <w:rFonts w:ascii="Avenir Book" w:hAnsi="Avenir Book"/>
                <w:b/>
                <w:bCs/>
              </w:rPr>
              <w:t>Tax attorney</w:t>
            </w:r>
          </w:p>
        </w:tc>
        <w:tc>
          <w:tcPr>
            <w:tcW w:w="1638" w:type="dxa"/>
          </w:tcPr>
          <w:p w14:paraId="0E42138F" w14:textId="77777777" w:rsidR="005432B9" w:rsidRPr="00B8015B" w:rsidRDefault="00000000">
            <w:pPr>
              <w:pStyle w:val="Compact"/>
              <w:rPr>
                <w:rFonts w:ascii="Avenir Book" w:hAnsi="Avenir Book"/>
              </w:rPr>
            </w:pPr>
            <w:r w:rsidRPr="00B8015B">
              <w:rPr>
                <w:rFonts w:ascii="Avenir Book" w:hAnsi="Avenir Book"/>
              </w:rPr>
              <w:t>Advise on IRC Section 1400Z-2 compliance, Section 1041 implications</w:t>
            </w:r>
          </w:p>
        </w:tc>
        <w:tc>
          <w:tcPr>
            <w:tcW w:w="4096" w:type="dxa"/>
          </w:tcPr>
          <w:p w14:paraId="17F501AF" w14:textId="77777777" w:rsidR="005432B9" w:rsidRPr="00B8015B" w:rsidRDefault="00000000">
            <w:pPr>
              <w:pStyle w:val="Compact"/>
              <w:rPr>
                <w:rFonts w:ascii="Avenir Book" w:hAnsi="Avenir Book"/>
              </w:rPr>
            </w:pPr>
            <w:r w:rsidRPr="00B8015B">
              <w:rPr>
                <w:rFonts w:ascii="Avenir Book" w:hAnsi="Avenir Book"/>
              </w:rPr>
              <w:t>How does a divorce transfer affect the deferral? What are the re-deferral options? What are the filing status implications?</w:t>
            </w:r>
          </w:p>
        </w:tc>
      </w:tr>
      <w:tr w:rsidR="005432B9" w:rsidRPr="00B8015B" w14:paraId="70874855" w14:textId="77777777">
        <w:tc>
          <w:tcPr>
            <w:tcW w:w="2184" w:type="dxa"/>
          </w:tcPr>
          <w:p w14:paraId="3202694C" w14:textId="77777777" w:rsidR="005432B9" w:rsidRPr="00B8015B" w:rsidRDefault="00000000">
            <w:pPr>
              <w:pStyle w:val="Compact"/>
              <w:rPr>
                <w:rFonts w:ascii="Avenir Book" w:hAnsi="Avenir Book"/>
              </w:rPr>
            </w:pPr>
            <w:r w:rsidRPr="00B8015B">
              <w:rPr>
                <w:rFonts w:ascii="Avenir Book" w:hAnsi="Avenir Book"/>
                <w:b/>
                <w:bCs/>
              </w:rPr>
              <w:t>Financial planner/CDFA</w:t>
            </w:r>
          </w:p>
        </w:tc>
        <w:tc>
          <w:tcPr>
            <w:tcW w:w="1638" w:type="dxa"/>
          </w:tcPr>
          <w:p w14:paraId="218E5B7B" w14:textId="77777777" w:rsidR="005432B9" w:rsidRPr="00B8015B" w:rsidRDefault="00000000">
            <w:pPr>
              <w:pStyle w:val="Compact"/>
              <w:rPr>
                <w:rFonts w:ascii="Avenir Book" w:hAnsi="Avenir Book"/>
              </w:rPr>
            </w:pPr>
            <w:r w:rsidRPr="00B8015B">
              <w:rPr>
                <w:rFonts w:ascii="Avenir Book" w:hAnsi="Avenir Book"/>
              </w:rPr>
              <w:t>Model settlement scenarios, project after-tax outcomes</w:t>
            </w:r>
          </w:p>
        </w:tc>
        <w:tc>
          <w:tcPr>
            <w:tcW w:w="4096" w:type="dxa"/>
          </w:tcPr>
          <w:p w14:paraId="6D585379" w14:textId="77777777" w:rsidR="005432B9" w:rsidRPr="00B8015B" w:rsidRDefault="00000000">
            <w:pPr>
              <w:pStyle w:val="Compact"/>
              <w:rPr>
                <w:rFonts w:ascii="Avenir Book" w:hAnsi="Avenir Book"/>
              </w:rPr>
            </w:pPr>
            <w:r w:rsidRPr="00B8015B">
              <w:rPr>
                <w:rFonts w:ascii="Avenir Book" w:hAnsi="Avenir Book"/>
              </w:rPr>
              <w:t>What is the optimal division structure? How does timing affect each party’s net position?</w:t>
            </w:r>
          </w:p>
        </w:tc>
      </w:tr>
    </w:tbl>
    <w:p w14:paraId="10EEDCFE" w14:textId="77777777" w:rsidR="005432B9" w:rsidRPr="00B8015B" w:rsidRDefault="00000000">
      <w:pPr>
        <w:pStyle w:val="Heading3"/>
        <w:rPr>
          <w:rFonts w:ascii="Avenir Book" w:hAnsi="Avenir Book"/>
        </w:rPr>
      </w:pPr>
      <w:bookmarkStart w:id="32" w:name="Xe77077c45d435a96f5ab2b5432fdc698516ceb2"/>
      <w:bookmarkEnd w:id="31"/>
      <w:r w:rsidRPr="00B8015B">
        <w:rPr>
          <w:rFonts w:ascii="Avenir Book" w:hAnsi="Avenir Book"/>
        </w:rPr>
        <w:t>Draft Settlement Language for QOZ Provisions</w:t>
      </w:r>
    </w:p>
    <w:p w14:paraId="36A0B658" w14:textId="77777777" w:rsidR="005432B9" w:rsidRPr="00B8015B" w:rsidRDefault="00000000">
      <w:pPr>
        <w:pStyle w:val="FirstParagraph"/>
        <w:rPr>
          <w:rFonts w:ascii="Avenir Book" w:hAnsi="Avenir Book"/>
        </w:rPr>
      </w:pPr>
      <w:r w:rsidRPr="00B8015B">
        <w:rPr>
          <w:rFonts w:ascii="Avenir Book" w:hAnsi="Avenir Book"/>
          <w:b/>
          <w:bCs/>
        </w:rPr>
        <w:t>Sample Decree Provisions:</w:t>
      </w:r>
    </w:p>
    <w:p w14:paraId="4E801F0A" w14:textId="77777777" w:rsidR="005432B9" w:rsidRPr="00B8015B" w:rsidRDefault="00286CC4">
      <w:pPr>
        <w:rPr>
          <w:rFonts w:ascii="Avenir Book" w:hAnsi="Avenir Book"/>
        </w:rPr>
      </w:pPr>
      <w:r w:rsidRPr="00286CC4">
        <w:rPr>
          <w:rFonts w:ascii="Avenir Book" w:hAnsi="Avenir Book"/>
          <w:noProof/>
        </w:rPr>
        <w:pict w14:anchorId="064A8A39">
          <v:rect id="_x0000_i1033" alt="" style="width:468pt;height:.05pt;mso-width-percent:0;mso-height-percent:0;mso-width-percent:0;mso-height-percent:0" o:hralign="center" o:hrstd="t" o:hr="t"/>
        </w:pict>
      </w:r>
    </w:p>
    <w:p w14:paraId="2433B101" w14:textId="77777777" w:rsidR="005432B9" w:rsidRPr="00B8015B" w:rsidRDefault="00000000">
      <w:pPr>
        <w:pStyle w:val="FirstParagraph"/>
        <w:rPr>
          <w:rFonts w:ascii="Avenir Book" w:hAnsi="Avenir Book"/>
        </w:rPr>
      </w:pPr>
      <w:r w:rsidRPr="00B8015B">
        <w:rPr>
          <w:rFonts w:ascii="Avenir Book" w:hAnsi="Avenir Book"/>
          <w:b/>
          <w:bCs/>
        </w:rPr>
        <w:lastRenderedPageBreak/>
        <w:t>PROVISION 1: QOF Interest Award and Characterization</w:t>
      </w:r>
    </w:p>
    <w:p w14:paraId="6E1A3C31" w14:textId="77777777" w:rsidR="005432B9" w:rsidRPr="00B8015B" w:rsidRDefault="00000000">
      <w:pPr>
        <w:pStyle w:val="BodyText"/>
        <w:rPr>
          <w:rFonts w:ascii="Avenir Book" w:hAnsi="Avenir Book"/>
        </w:rPr>
      </w:pPr>
      <w:r w:rsidRPr="00B8015B">
        <w:rPr>
          <w:rFonts w:ascii="Avenir Book" w:hAnsi="Avenir Book"/>
        </w:rPr>
        <w:t>IT IS ORDERED AND DECREED that the interest held by [Husband] in [QOF Name], a Qualified Opportunity Fund as defined by IRC Section 1400Z-2, is hereby awarded to [Husband] as his sole and separate property. The Court finds that the fair market value of this interest is $[FMV], subject to a deferred capital gains tax liability of $[TAX AMOUNT] arising from [Husband’s] election to defer capital gains under IRC Section 1400Z-2(a), resulting in a net after-tax value of $[NET VALUE].</w:t>
      </w:r>
    </w:p>
    <w:p w14:paraId="7F8412EA" w14:textId="77777777" w:rsidR="005432B9" w:rsidRPr="00B8015B" w:rsidRDefault="00286CC4">
      <w:pPr>
        <w:rPr>
          <w:rFonts w:ascii="Avenir Book" w:hAnsi="Avenir Book"/>
        </w:rPr>
      </w:pPr>
      <w:r w:rsidRPr="00286CC4">
        <w:rPr>
          <w:rFonts w:ascii="Avenir Book" w:hAnsi="Avenir Book"/>
          <w:noProof/>
        </w:rPr>
        <w:pict w14:anchorId="26167AE0">
          <v:rect id="_x0000_i1032" alt="" style="width:468pt;height:.05pt;mso-width-percent:0;mso-height-percent:0;mso-width-percent:0;mso-height-percent:0" o:hralign="center" o:hrstd="t" o:hr="t"/>
        </w:pict>
      </w:r>
    </w:p>
    <w:p w14:paraId="08D6A99A" w14:textId="77777777" w:rsidR="005432B9" w:rsidRPr="00B8015B" w:rsidRDefault="00000000">
      <w:pPr>
        <w:pStyle w:val="FirstParagraph"/>
        <w:rPr>
          <w:rFonts w:ascii="Avenir Book" w:hAnsi="Avenir Book"/>
        </w:rPr>
      </w:pPr>
      <w:r w:rsidRPr="00B8015B">
        <w:rPr>
          <w:rFonts w:ascii="Avenir Book" w:hAnsi="Avenir Book"/>
          <w:b/>
          <w:bCs/>
        </w:rPr>
        <w:t>PROVISION 2: Tax Liability Allocation</w:t>
      </w:r>
    </w:p>
    <w:p w14:paraId="2E351F89" w14:textId="77777777" w:rsidR="005432B9" w:rsidRPr="00B8015B" w:rsidRDefault="00000000">
      <w:pPr>
        <w:pStyle w:val="BodyText"/>
        <w:rPr>
          <w:rFonts w:ascii="Avenir Book" w:hAnsi="Avenir Book"/>
        </w:rPr>
      </w:pPr>
      <w:r w:rsidRPr="00B8015B">
        <w:rPr>
          <w:rFonts w:ascii="Avenir Book" w:hAnsi="Avenir Book"/>
        </w:rPr>
        <w:t>IT IS ORDERED AND DECREED that [Husband] shall be solely responsible for all federal and state income tax liability arising from (a) the recognition of deferred capital gains under IRC Section 1400Z-2(b)(1) on or before December 31, 2026, (b) any inclusion event as defined by Treasury Regulation Section 1.1400Z2(b)-1(c) relating to the QOF interest, and (c) any future disposition or sale of the QOF interest. [Husband] shall timely pay all such taxes, including any estimated tax payments required, and shall not seek contribution or reimbursement from [Wife] for any such tax obligations.</w:t>
      </w:r>
    </w:p>
    <w:p w14:paraId="47079326" w14:textId="77777777" w:rsidR="005432B9" w:rsidRPr="00B8015B" w:rsidRDefault="00286CC4">
      <w:pPr>
        <w:rPr>
          <w:rFonts w:ascii="Avenir Book" w:hAnsi="Avenir Book"/>
        </w:rPr>
      </w:pPr>
      <w:r w:rsidRPr="00286CC4">
        <w:rPr>
          <w:rFonts w:ascii="Avenir Book" w:hAnsi="Avenir Book"/>
          <w:noProof/>
        </w:rPr>
        <w:pict w14:anchorId="38A28A1F">
          <v:rect id="_x0000_i1031" alt="" style="width:468pt;height:.05pt;mso-width-percent:0;mso-height-percent:0;mso-width-percent:0;mso-height-percent:0" o:hralign="center" o:hrstd="t" o:hr="t"/>
        </w:pict>
      </w:r>
    </w:p>
    <w:p w14:paraId="08A5047B" w14:textId="77777777" w:rsidR="005432B9" w:rsidRPr="00B8015B" w:rsidRDefault="00000000">
      <w:pPr>
        <w:pStyle w:val="FirstParagraph"/>
        <w:rPr>
          <w:rFonts w:ascii="Avenir Book" w:hAnsi="Avenir Book"/>
        </w:rPr>
      </w:pPr>
      <w:r w:rsidRPr="00B8015B">
        <w:rPr>
          <w:rFonts w:ascii="Avenir Book" w:hAnsi="Avenir Book"/>
          <w:b/>
          <w:bCs/>
        </w:rPr>
        <w:t>PROVISION 3: Indemnification</w:t>
      </w:r>
    </w:p>
    <w:p w14:paraId="3DA996D6" w14:textId="77777777" w:rsidR="005432B9" w:rsidRPr="00B8015B" w:rsidRDefault="00000000">
      <w:pPr>
        <w:pStyle w:val="BodyText"/>
        <w:rPr>
          <w:rFonts w:ascii="Avenir Book" w:hAnsi="Avenir Book"/>
        </w:rPr>
      </w:pPr>
      <w:r w:rsidRPr="00B8015B">
        <w:rPr>
          <w:rFonts w:ascii="Avenir Book" w:hAnsi="Avenir Book"/>
        </w:rPr>
        <w:t>IT IS ORDERED AND DECREED that [Husband] shall indemnify, defend, and hold harmless [Wife] from and against any and all claims, liabilities, damages, penalties, interest, costs, and expenses (including reasonable attorneys’ fees and accounting fees) arising from or related to:</w:t>
      </w:r>
    </w:p>
    <w:p w14:paraId="2E0C5367" w14:textId="77777777" w:rsidR="005432B9" w:rsidRPr="00B8015B" w:rsidRDefault="00000000">
      <w:pPr>
        <w:pStyle w:val="Compact"/>
        <w:numPr>
          <w:ilvl w:val="0"/>
          <w:numId w:val="14"/>
        </w:numPr>
        <w:rPr>
          <w:rFonts w:ascii="Avenir Book" w:hAnsi="Avenir Book"/>
        </w:rPr>
      </w:pPr>
      <w:r w:rsidRPr="00B8015B">
        <w:rPr>
          <w:rFonts w:ascii="Avenir Book" w:hAnsi="Avenir Book"/>
        </w:rPr>
        <w:t>The deferred capital gain under IRC Section 1400Z-2(b)(1) associated with the QOF interest;</w:t>
      </w:r>
    </w:p>
    <w:p w14:paraId="29E87115" w14:textId="77777777" w:rsidR="005432B9" w:rsidRPr="00B8015B" w:rsidRDefault="00000000">
      <w:pPr>
        <w:pStyle w:val="Compact"/>
        <w:numPr>
          <w:ilvl w:val="0"/>
          <w:numId w:val="14"/>
        </w:numPr>
        <w:rPr>
          <w:rFonts w:ascii="Avenir Book" w:hAnsi="Avenir Book"/>
        </w:rPr>
      </w:pPr>
      <w:r w:rsidRPr="00B8015B">
        <w:rPr>
          <w:rFonts w:ascii="Avenir Book" w:hAnsi="Avenir Book"/>
        </w:rPr>
        <w:t>Any inclusion event triggered by [Husband’s] actions or inactions with respect to the QOF interest;</w:t>
      </w:r>
    </w:p>
    <w:p w14:paraId="5547043A" w14:textId="77777777" w:rsidR="005432B9" w:rsidRPr="00B8015B" w:rsidRDefault="00000000">
      <w:pPr>
        <w:pStyle w:val="Compact"/>
        <w:numPr>
          <w:ilvl w:val="0"/>
          <w:numId w:val="14"/>
        </w:numPr>
        <w:rPr>
          <w:rFonts w:ascii="Avenir Book" w:hAnsi="Avenir Book"/>
        </w:rPr>
      </w:pPr>
      <w:r w:rsidRPr="00B8015B">
        <w:rPr>
          <w:rFonts w:ascii="Avenir Book" w:hAnsi="Avenir Book"/>
        </w:rPr>
        <w:t>Any tax liability assessed against [Wife] by the Internal Revenue Service or any state taxing authority relating to the QOF investment;</w:t>
      </w:r>
    </w:p>
    <w:p w14:paraId="2079F77E" w14:textId="77777777" w:rsidR="005432B9" w:rsidRPr="00B8015B" w:rsidRDefault="00000000">
      <w:pPr>
        <w:pStyle w:val="Compact"/>
        <w:numPr>
          <w:ilvl w:val="0"/>
          <w:numId w:val="14"/>
        </w:numPr>
        <w:rPr>
          <w:rFonts w:ascii="Avenir Book" w:hAnsi="Avenir Book"/>
        </w:rPr>
      </w:pPr>
      <w:r w:rsidRPr="00B8015B">
        <w:rPr>
          <w:rFonts w:ascii="Avenir Book" w:hAnsi="Avenir Book"/>
        </w:rPr>
        <w:t>Any failure by [Husband] to timely report or pay taxes on the deferred gain;</w:t>
      </w:r>
    </w:p>
    <w:p w14:paraId="02186F20" w14:textId="77777777" w:rsidR="005432B9" w:rsidRPr="00B8015B" w:rsidRDefault="00000000">
      <w:pPr>
        <w:pStyle w:val="Compact"/>
        <w:numPr>
          <w:ilvl w:val="0"/>
          <w:numId w:val="14"/>
        </w:numPr>
        <w:rPr>
          <w:rFonts w:ascii="Avenir Book" w:hAnsi="Avenir Book"/>
        </w:rPr>
      </w:pPr>
      <w:r w:rsidRPr="00B8015B">
        <w:rPr>
          <w:rFonts w:ascii="Avenir Book" w:hAnsi="Avenir Book"/>
        </w:rPr>
        <w:t>Any penalties or interest assessed as a result of the QOF investment or the deferred gain recognition.</w:t>
      </w:r>
    </w:p>
    <w:p w14:paraId="7E6BC3A3" w14:textId="77777777" w:rsidR="005432B9" w:rsidRPr="00B8015B" w:rsidRDefault="00000000">
      <w:pPr>
        <w:pStyle w:val="FirstParagraph"/>
        <w:rPr>
          <w:rFonts w:ascii="Avenir Book" w:hAnsi="Avenir Book"/>
        </w:rPr>
      </w:pPr>
      <w:r w:rsidRPr="00B8015B">
        <w:rPr>
          <w:rFonts w:ascii="Avenir Book" w:hAnsi="Avenir Book"/>
        </w:rPr>
        <w:t>This indemnification obligation shall survive the entry of the final decree of divorce and shall be enforceable by [Wife] through contempt proceedings, independent legal action, or both.</w:t>
      </w:r>
    </w:p>
    <w:p w14:paraId="073D3A15" w14:textId="77777777" w:rsidR="005432B9" w:rsidRPr="00B8015B" w:rsidRDefault="00286CC4">
      <w:pPr>
        <w:rPr>
          <w:rFonts w:ascii="Avenir Book" w:hAnsi="Avenir Book"/>
        </w:rPr>
      </w:pPr>
      <w:r w:rsidRPr="00286CC4">
        <w:rPr>
          <w:rFonts w:ascii="Avenir Book" w:hAnsi="Avenir Book"/>
          <w:noProof/>
        </w:rPr>
        <w:pict w14:anchorId="6FE52955">
          <v:rect id="_x0000_i1030" alt="" style="width:468pt;height:.05pt;mso-width-percent:0;mso-height-percent:0;mso-width-percent:0;mso-height-percent:0" o:hralign="center" o:hrstd="t" o:hr="t"/>
        </w:pict>
      </w:r>
    </w:p>
    <w:p w14:paraId="52E9F764" w14:textId="77777777" w:rsidR="005432B9" w:rsidRPr="00B8015B" w:rsidRDefault="00000000">
      <w:pPr>
        <w:pStyle w:val="FirstParagraph"/>
        <w:rPr>
          <w:rFonts w:ascii="Avenir Book" w:hAnsi="Avenir Book"/>
        </w:rPr>
      </w:pPr>
      <w:r w:rsidRPr="00B8015B">
        <w:rPr>
          <w:rFonts w:ascii="Avenir Book" w:hAnsi="Avenir Book"/>
          <w:b/>
          <w:bCs/>
        </w:rPr>
        <w:t>PROVISION 4: Covenant Not to Transfer</w:t>
      </w:r>
    </w:p>
    <w:p w14:paraId="74C4A745" w14:textId="77777777" w:rsidR="005432B9" w:rsidRPr="00B8015B" w:rsidRDefault="00000000">
      <w:pPr>
        <w:pStyle w:val="BodyText"/>
        <w:rPr>
          <w:rFonts w:ascii="Avenir Book" w:hAnsi="Avenir Book"/>
        </w:rPr>
      </w:pPr>
      <w:r w:rsidRPr="00B8015B">
        <w:rPr>
          <w:rFonts w:ascii="Avenir Book" w:hAnsi="Avenir Book"/>
        </w:rPr>
        <w:lastRenderedPageBreak/>
        <w:t>IT IS ORDERED AND DECREED that [Husband] shall not transfer, assign, pledge, encumber, or otherwise dispose of the QOF interest without first providing [Wife] with thirty (30) days written notice, to the extent that such transfer could create any tax liability or legal obligation affecting [Wife].</w:t>
      </w:r>
    </w:p>
    <w:p w14:paraId="3751EA25" w14:textId="77777777" w:rsidR="005432B9" w:rsidRPr="00B8015B" w:rsidRDefault="00286CC4">
      <w:pPr>
        <w:rPr>
          <w:rFonts w:ascii="Avenir Book" w:hAnsi="Avenir Book"/>
        </w:rPr>
      </w:pPr>
      <w:r w:rsidRPr="00286CC4">
        <w:rPr>
          <w:rFonts w:ascii="Avenir Book" w:hAnsi="Avenir Book"/>
          <w:noProof/>
        </w:rPr>
        <w:pict w14:anchorId="22582C34">
          <v:rect id="_x0000_i1029" alt="" style="width:468pt;height:.05pt;mso-width-percent:0;mso-height-percent:0;mso-width-percent:0;mso-height-percent:0" o:hralign="center" o:hrstd="t" o:hr="t"/>
        </w:pict>
      </w:r>
    </w:p>
    <w:p w14:paraId="5C904C74" w14:textId="77777777" w:rsidR="005432B9" w:rsidRPr="00B8015B" w:rsidRDefault="00000000">
      <w:pPr>
        <w:pStyle w:val="FirstParagraph"/>
        <w:rPr>
          <w:rFonts w:ascii="Avenir Book" w:hAnsi="Avenir Book"/>
        </w:rPr>
      </w:pPr>
      <w:r w:rsidRPr="00B8015B">
        <w:rPr>
          <w:rFonts w:ascii="Avenir Book" w:hAnsi="Avenir Book"/>
          <w:b/>
          <w:bCs/>
        </w:rPr>
        <w:t>PROVISION 5: Tax Return Cooperation</w:t>
      </w:r>
    </w:p>
    <w:p w14:paraId="26D1F521" w14:textId="77777777" w:rsidR="005432B9" w:rsidRPr="00B8015B" w:rsidRDefault="00000000">
      <w:pPr>
        <w:pStyle w:val="BodyText"/>
        <w:rPr>
          <w:rFonts w:ascii="Avenir Book" w:hAnsi="Avenir Book"/>
        </w:rPr>
      </w:pPr>
      <w:r w:rsidRPr="00B8015B">
        <w:rPr>
          <w:rFonts w:ascii="Avenir Book" w:hAnsi="Avenir Book"/>
        </w:rPr>
        <w:t>IT IS ORDERED AND DECREED that each party shall cooperate with the other in the preparation and filing of any tax returns that may be required in connection with the QOF investment, including but not limited to providing information necessary for the proper reporting of the deferred gain recognition event. Each party shall execute such documents and take such actions as may be reasonably necessary to implement the tax provisions of this decree.</w:t>
      </w:r>
    </w:p>
    <w:p w14:paraId="5FB5B78C" w14:textId="77777777" w:rsidR="005432B9" w:rsidRPr="00B8015B" w:rsidRDefault="00286CC4">
      <w:pPr>
        <w:rPr>
          <w:rFonts w:ascii="Avenir Book" w:hAnsi="Avenir Book"/>
        </w:rPr>
      </w:pPr>
      <w:r w:rsidRPr="00286CC4">
        <w:rPr>
          <w:rFonts w:ascii="Avenir Book" w:hAnsi="Avenir Book"/>
          <w:noProof/>
        </w:rPr>
        <w:pict w14:anchorId="5BB934C8">
          <v:rect id="_x0000_i1028" alt="" style="width:468pt;height:.05pt;mso-width-percent:0;mso-height-percent:0;mso-width-percent:0;mso-height-percent:0" o:hralign="center" o:hrstd="t" o:hr="t"/>
        </w:pict>
      </w:r>
    </w:p>
    <w:p w14:paraId="594F576A" w14:textId="77777777" w:rsidR="005432B9" w:rsidRPr="00B8015B" w:rsidRDefault="00000000">
      <w:pPr>
        <w:pStyle w:val="FirstParagraph"/>
        <w:rPr>
          <w:rFonts w:ascii="Avenir Book" w:hAnsi="Avenir Book"/>
        </w:rPr>
      </w:pPr>
      <w:r w:rsidRPr="00B8015B">
        <w:rPr>
          <w:rFonts w:ascii="Avenir Book" w:hAnsi="Avenir Book"/>
          <w:b/>
          <w:bCs/>
        </w:rPr>
        <w:t>PROVISION 6: Offsetting Award</w:t>
      </w:r>
    </w:p>
    <w:p w14:paraId="53D96A61" w14:textId="77777777" w:rsidR="005432B9" w:rsidRPr="00B8015B" w:rsidRDefault="00000000">
      <w:pPr>
        <w:pStyle w:val="BodyText"/>
        <w:rPr>
          <w:rFonts w:ascii="Avenir Book" w:hAnsi="Avenir Book"/>
        </w:rPr>
      </w:pPr>
      <w:r w:rsidRPr="00B8015B">
        <w:rPr>
          <w:rFonts w:ascii="Avenir Book" w:hAnsi="Avenir Book"/>
        </w:rPr>
        <w:t>IT IS ORDERED AND DECREED that, in consideration of the award of the QOF interest to [Husband] at a net after-tax value of $[NET VALUE], [Wife] is hereby awarded the following assets from the community estate as her sole and separate property, to achieve a just and right division:</w:t>
      </w:r>
    </w:p>
    <w:p w14:paraId="56D2E227" w14:textId="77777777" w:rsidR="005432B9" w:rsidRPr="00B8015B" w:rsidRDefault="00000000">
      <w:pPr>
        <w:pStyle w:val="BodyText"/>
        <w:rPr>
          <w:rFonts w:ascii="Avenir Book" w:hAnsi="Avenir Book"/>
        </w:rPr>
      </w:pPr>
      <w:r w:rsidRPr="00B8015B">
        <w:rPr>
          <w:rFonts w:ascii="Avenir Book" w:hAnsi="Avenir Book"/>
        </w:rPr>
        <w:t>[List offsetting assets with values]</w:t>
      </w:r>
    </w:p>
    <w:p w14:paraId="733AE6FA" w14:textId="77777777" w:rsidR="005432B9" w:rsidRPr="00B8015B" w:rsidRDefault="00000000">
      <w:pPr>
        <w:pStyle w:val="BodyText"/>
        <w:rPr>
          <w:rFonts w:ascii="Avenir Book" w:hAnsi="Avenir Book"/>
        </w:rPr>
      </w:pPr>
      <w:r w:rsidRPr="00B8015B">
        <w:rPr>
          <w:rFonts w:ascii="Avenir Book" w:hAnsi="Avenir Book"/>
        </w:rPr>
        <w:t>The Court finds that this division, taking into account the embedded tax liability of the QOF interest, constitutes a just and right division of the community estate under Texas Family Code Section 7.001.</w:t>
      </w:r>
    </w:p>
    <w:p w14:paraId="35BC0BD8" w14:textId="77777777" w:rsidR="005432B9" w:rsidRPr="00B8015B" w:rsidRDefault="00286CC4">
      <w:pPr>
        <w:rPr>
          <w:rFonts w:ascii="Avenir Book" w:hAnsi="Avenir Book"/>
        </w:rPr>
      </w:pPr>
      <w:r w:rsidRPr="00286CC4">
        <w:rPr>
          <w:rFonts w:ascii="Avenir Book" w:hAnsi="Avenir Book"/>
          <w:noProof/>
        </w:rPr>
        <w:pict w14:anchorId="547D49A2">
          <v:rect id="_x0000_i1027" alt="" style="width:468pt;height:.05pt;mso-width-percent:0;mso-height-percent:0;mso-width-percent:0;mso-height-percent:0" o:hralign="center" o:hrstd="t" o:hr="t"/>
        </w:pict>
      </w:r>
    </w:p>
    <w:p w14:paraId="0A1F1D16" w14:textId="77777777" w:rsidR="005432B9" w:rsidRPr="00B8015B" w:rsidRDefault="00000000">
      <w:pPr>
        <w:pStyle w:val="Heading2"/>
        <w:rPr>
          <w:rFonts w:ascii="Avenir Book" w:hAnsi="Avenir Book"/>
        </w:rPr>
      </w:pPr>
      <w:bookmarkStart w:id="33" w:name="summary-of-key-findings"/>
      <w:bookmarkEnd w:id="29"/>
      <w:bookmarkEnd w:id="32"/>
      <w:r w:rsidRPr="00B8015B">
        <w:rPr>
          <w:rFonts w:ascii="Avenir Book" w:hAnsi="Avenir Book"/>
        </w:rPr>
        <w:t>Summary of Key Findings</w:t>
      </w:r>
    </w:p>
    <w:p w14:paraId="66AB90A2" w14:textId="77777777" w:rsidR="005432B9" w:rsidRPr="00B8015B" w:rsidRDefault="00000000">
      <w:pPr>
        <w:pStyle w:val="Heading3"/>
        <w:rPr>
          <w:rFonts w:ascii="Avenir Book" w:hAnsi="Avenir Book"/>
        </w:rPr>
      </w:pPr>
      <w:bookmarkStart w:id="34" w:name="areas-of-settled-law"/>
      <w:r w:rsidRPr="00B8015B">
        <w:rPr>
          <w:rFonts w:ascii="Avenir Book" w:hAnsi="Avenir Book"/>
        </w:rPr>
        <w:t>Areas of Settled Law</w:t>
      </w:r>
    </w:p>
    <w:p w14:paraId="5ED8872B" w14:textId="77777777" w:rsidR="005432B9" w:rsidRPr="00B8015B" w:rsidRDefault="00000000">
      <w:pPr>
        <w:pStyle w:val="Compact"/>
        <w:numPr>
          <w:ilvl w:val="0"/>
          <w:numId w:val="15"/>
        </w:numPr>
        <w:rPr>
          <w:rFonts w:ascii="Avenir Book" w:hAnsi="Avenir Book"/>
        </w:rPr>
      </w:pPr>
      <w:r w:rsidRPr="00B8015B">
        <w:rPr>
          <w:rFonts w:ascii="Avenir Book" w:hAnsi="Avenir Book"/>
          <w:b/>
          <w:bCs/>
        </w:rPr>
        <w:t>Texas tracing doctrine</w:t>
      </w:r>
      <w:r w:rsidRPr="00B8015B">
        <w:rPr>
          <w:rFonts w:ascii="Avenir Book" w:hAnsi="Avenir Book"/>
        </w:rPr>
        <w:t xml:space="preserve"> is well-established: proceeds from separate property, reinvested, remain separate if traced by clear and convincing evidence</w:t>
      </w:r>
    </w:p>
    <w:p w14:paraId="33C6612D" w14:textId="77777777" w:rsidR="005432B9" w:rsidRPr="00B8015B" w:rsidRDefault="00000000">
      <w:pPr>
        <w:pStyle w:val="Compact"/>
        <w:numPr>
          <w:ilvl w:val="0"/>
          <w:numId w:val="15"/>
        </w:numPr>
        <w:rPr>
          <w:rFonts w:ascii="Avenir Book" w:hAnsi="Avenir Book"/>
        </w:rPr>
      </w:pPr>
      <w:r w:rsidRPr="00B8015B">
        <w:rPr>
          <w:rFonts w:ascii="Avenir Book" w:hAnsi="Avenir Book"/>
          <w:b/>
          <w:bCs/>
        </w:rPr>
        <w:t>The “just and right” standard</w:t>
      </w:r>
      <w:r w:rsidRPr="00B8015B">
        <w:rPr>
          <w:rFonts w:ascii="Avenir Book" w:hAnsi="Avenir Book"/>
        </w:rPr>
        <w:t xml:space="preserve"> gives courts broad discretion to consider tax consequences in property division</w:t>
      </w:r>
    </w:p>
    <w:p w14:paraId="5C8ACC0B" w14:textId="77777777" w:rsidR="005432B9" w:rsidRPr="00B8015B" w:rsidRDefault="00000000">
      <w:pPr>
        <w:pStyle w:val="Compact"/>
        <w:numPr>
          <w:ilvl w:val="0"/>
          <w:numId w:val="15"/>
        </w:numPr>
        <w:rPr>
          <w:rFonts w:ascii="Avenir Book" w:hAnsi="Avenir Book"/>
        </w:rPr>
      </w:pPr>
      <w:r w:rsidRPr="00B8015B">
        <w:rPr>
          <w:rFonts w:ascii="Avenir Book" w:hAnsi="Avenir Book"/>
          <w:b/>
          <w:bCs/>
        </w:rPr>
        <w:t>IRC Section 1400Z-2(b)(1)</w:t>
      </w:r>
      <w:r w:rsidRPr="00B8015B">
        <w:rPr>
          <w:rFonts w:ascii="Avenir Book" w:hAnsi="Avenir Book"/>
        </w:rPr>
        <w:t xml:space="preserve"> mandates gain recognition by December 31, 2026 – this is a hard deadline</w:t>
      </w:r>
    </w:p>
    <w:p w14:paraId="53C2B3E3" w14:textId="77777777" w:rsidR="005432B9" w:rsidRPr="00B8015B" w:rsidRDefault="00000000">
      <w:pPr>
        <w:pStyle w:val="Compact"/>
        <w:numPr>
          <w:ilvl w:val="0"/>
          <w:numId w:val="15"/>
        </w:numPr>
        <w:rPr>
          <w:rFonts w:ascii="Avenir Book" w:hAnsi="Avenir Book"/>
        </w:rPr>
      </w:pPr>
      <w:r w:rsidRPr="00B8015B">
        <w:rPr>
          <w:rFonts w:ascii="Avenir Book" w:hAnsi="Avenir Book"/>
          <w:b/>
          <w:bCs/>
        </w:rPr>
        <w:t>Treas. Reg. Section 1.1400Z2(b)-1(c)</w:t>
      </w:r>
      <w:r w:rsidRPr="00B8015B">
        <w:rPr>
          <w:rFonts w:ascii="Avenir Book" w:hAnsi="Avenir Book"/>
        </w:rPr>
        <w:t xml:space="preserve"> explicitly provides that spousal/divorce transfers of QOF interests are inclusion events, overriding the general Section 1041 nonrecognition rule</w:t>
      </w:r>
    </w:p>
    <w:p w14:paraId="6F7BE8E6" w14:textId="77777777" w:rsidR="005432B9" w:rsidRPr="00B8015B" w:rsidRDefault="00000000">
      <w:pPr>
        <w:pStyle w:val="Compact"/>
        <w:numPr>
          <w:ilvl w:val="0"/>
          <w:numId w:val="15"/>
        </w:numPr>
        <w:rPr>
          <w:rFonts w:ascii="Avenir Book" w:hAnsi="Avenir Book"/>
        </w:rPr>
      </w:pPr>
      <w:r w:rsidRPr="00B8015B">
        <w:rPr>
          <w:rFonts w:ascii="Avenir Book" w:hAnsi="Avenir Book"/>
          <w:b/>
          <w:bCs/>
        </w:rPr>
        <w:t>IRC Section 6013(a)</w:t>
      </w:r>
      <w:r w:rsidRPr="00B8015B">
        <w:rPr>
          <w:rFonts w:ascii="Avenir Book" w:hAnsi="Avenir Book"/>
        </w:rPr>
        <w:t xml:space="preserve"> prohibits joint filing if divorced before December 31 of the tax year</w:t>
      </w:r>
    </w:p>
    <w:p w14:paraId="7FA2ACCC" w14:textId="77777777" w:rsidR="005432B9" w:rsidRPr="00B8015B" w:rsidRDefault="00000000">
      <w:pPr>
        <w:pStyle w:val="Heading3"/>
        <w:rPr>
          <w:rFonts w:ascii="Avenir Book" w:hAnsi="Avenir Book"/>
        </w:rPr>
      </w:pPr>
      <w:bookmarkStart w:id="35" w:name="areas-of-unsettled-law-flagged"/>
      <w:bookmarkEnd w:id="34"/>
      <w:r w:rsidRPr="00B8015B">
        <w:rPr>
          <w:rFonts w:ascii="Avenir Book" w:hAnsi="Avenir Book"/>
        </w:rPr>
        <w:lastRenderedPageBreak/>
        <w:t>Areas of Unsettled Law (Flagged)</w:t>
      </w:r>
    </w:p>
    <w:p w14:paraId="1ECC07DF" w14:textId="77777777" w:rsidR="005432B9" w:rsidRPr="00B8015B" w:rsidRDefault="00000000">
      <w:pPr>
        <w:pStyle w:val="Compact"/>
        <w:numPr>
          <w:ilvl w:val="0"/>
          <w:numId w:val="16"/>
        </w:numPr>
        <w:rPr>
          <w:rFonts w:ascii="Avenir Book" w:hAnsi="Avenir Book"/>
        </w:rPr>
      </w:pPr>
      <w:r w:rsidRPr="00B8015B">
        <w:rPr>
          <w:rFonts w:ascii="Avenir Book" w:hAnsi="Avenir Book"/>
          <w:b/>
          <w:bCs/>
        </w:rPr>
        <w:t>No reported Texas case law</w:t>
      </w:r>
      <w:r w:rsidRPr="00B8015B">
        <w:rPr>
          <w:rFonts w:ascii="Avenir Book" w:hAnsi="Avenir Book"/>
        </w:rPr>
        <w:t xml:space="preserve"> specifically addresses community property characterization of QOF/QOZ investments – this is a novel application of established doctrine</w:t>
      </w:r>
    </w:p>
    <w:p w14:paraId="1456AFEF" w14:textId="77777777" w:rsidR="005432B9" w:rsidRPr="00B8015B" w:rsidRDefault="00000000">
      <w:pPr>
        <w:pStyle w:val="Compact"/>
        <w:numPr>
          <w:ilvl w:val="0"/>
          <w:numId w:val="16"/>
        </w:numPr>
        <w:rPr>
          <w:rFonts w:ascii="Avenir Book" w:hAnsi="Avenir Book"/>
        </w:rPr>
      </w:pPr>
      <w:r w:rsidRPr="00B8015B">
        <w:rPr>
          <w:rFonts w:ascii="Avenir Book" w:hAnsi="Avenir Book"/>
          <w:b/>
          <w:bCs/>
        </w:rPr>
        <w:t>No Texas appellate decision</w:t>
      </w:r>
      <w:r w:rsidRPr="00B8015B">
        <w:rPr>
          <w:rFonts w:ascii="Avenir Book" w:hAnsi="Avenir Book"/>
        </w:rPr>
        <w:t xml:space="preserve"> specifically mandates tax-affected valuation for QOZ assets – the court’s “just and right” discretion is broad but undefined on this specific asset class</w:t>
      </w:r>
    </w:p>
    <w:p w14:paraId="5CA826F5" w14:textId="77777777" w:rsidR="005432B9" w:rsidRPr="00B8015B" w:rsidRDefault="00000000">
      <w:pPr>
        <w:pStyle w:val="Compact"/>
        <w:numPr>
          <w:ilvl w:val="0"/>
          <w:numId w:val="16"/>
        </w:numPr>
        <w:rPr>
          <w:rFonts w:ascii="Avenir Book" w:hAnsi="Avenir Book"/>
        </w:rPr>
      </w:pPr>
      <w:r w:rsidRPr="00B8015B">
        <w:rPr>
          <w:rFonts w:ascii="Avenir Book" w:hAnsi="Avenir Book"/>
          <w:b/>
          <w:bCs/>
        </w:rPr>
        <w:t>The interaction between Texas community property reimbursement claims (TFC Section 3.402) and QOF investments</w:t>
      </w:r>
      <w:r w:rsidRPr="00B8015B">
        <w:rPr>
          <w:rFonts w:ascii="Avenir Book" w:hAnsi="Avenir Book"/>
        </w:rPr>
        <w:t xml:space="preserve"> where community effort enhanced the value of a separately-owned QOF has not been addressed</w:t>
      </w:r>
    </w:p>
    <w:p w14:paraId="39EB7B9E" w14:textId="77777777" w:rsidR="005432B9" w:rsidRPr="00B8015B" w:rsidRDefault="00000000">
      <w:pPr>
        <w:pStyle w:val="Compact"/>
        <w:numPr>
          <w:ilvl w:val="0"/>
          <w:numId w:val="16"/>
        </w:numPr>
        <w:rPr>
          <w:rFonts w:ascii="Avenir Book" w:hAnsi="Avenir Book"/>
        </w:rPr>
      </w:pPr>
      <w:r w:rsidRPr="00B8015B">
        <w:rPr>
          <w:rFonts w:ascii="Avenir Book" w:hAnsi="Avenir Book"/>
          <w:b/>
          <w:bCs/>
        </w:rPr>
        <w:t>Re-deferral strategies in the divorce context</w:t>
      </w:r>
      <w:r w:rsidRPr="00B8015B">
        <w:rPr>
          <w:rFonts w:ascii="Avenir Book" w:hAnsi="Avenir Book"/>
        </w:rPr>
        <w:t xml:space="preserve"> are legally untested – whether a divorcing spouse can sell and re-defer into a new QOF as part of settlement has no precedent</w:t>
      </w:r>
    </w:p>
    <w:p w14:paraId="19F2247B" w14:textId="77777777" w:rsidR="005432B9" w:rsidRPr="00B8015B" w:rsidRDefault="00000000">
      <w:pPr>
        <w:pStyle w:val="Compact"/>
        <w:numPr>
          <w:ilvl w:val="0"/>
          <w:numId w:val="16"/>
        </w:numPr>
        <w:rPr>
          <w:rFonts w:ascii="Avenir Book" w:hAnsi="Avenir Book"/>
        </w:rPr>
      </w:pPr>
      <w:r w:rsidRPr="00B8015B">
        <w:rPr>
          <w:rFonts w:ascii="Avenir Book" w:hAnsi="Avenir Book"/>
          <w:b/>
          <w:bCs/>
        </w:rPr>
        <w:t>Whether a court can consider the lost QOZ 10-year exclusion benefit</w:t>
      </w:r>
      <w:r w:rsidRPr="00B8015B">
        <w:rPr>
          <w:rFonts w:ascii="Avenir Book" w:hAnsi="Avenir Book"/>
        </w:rPr>
        <w:t xml:space="preserve"> (IRC Section 1400Z-2(c)) as a factor in “just and right” division is unexplored</w:t>
      </w:r>
    </w:p>
    <w:p w14:paraId="796E527B" w14:textId="77777777" w:rsidR="005432B9" w:rsidRPr="00B8015B" w:rsidRDefault="00286CC4">
      <w:pPr>
        <w:rPr>
          <w:rFonts w:ascii="Avenir Book" w:hAnsi="Avenir Book"/>
        </w:rPr>
      </w:pPr>
      <w:r w:rsidRPr="00286CC4">
        <w:rPr>
          <w:rFonts w:ascii="Avenir Book" w:hAnsi="Avenir Book"/>
          <w:noProof/>
        </w:rPr>
        <w:pict w14:anchorId="2BD78A27">
          <v:rect id="_x0000_i1026" alt="" style="width:468pt;height:.05pt;mso-width-percent:0;mso-height-percent:0;mso-width-percent:0;mso-height-percent:0" o:hralign="center" o:hrstd="t" o:hr="t"/>
        </w:pict>
      </w:r>
    </w:p>
    <w:p w14:paraId="185F23AF" w14:textId="77777777" w:rsidR="005432B9" w:rsidRPr="00B8015B" w:rsidRDefault="00000000">
      <w:pPr>
        <w:pStyle w:val="Heading2"/>
        <w:rPr>
          <w:rFonts w:ascii="Avenir Book" w:hAnsi="Avenir Book"/>
        </w:rPr>
      </w:pPr>
      <w:bookmarkStart w:id="36" w:name="statutory-and-regulatory-citations-index"/>
      <w:bookmarkEnd w:id="33"/>
      <w:bookmarkEnd w:id="35"/>
      <w:r w:rsidRPr="00B8015B">
        <w:rPr>
          <w:rFonts w:ascii="Avenir Book" w:hAnsi="Avenir Book"/>
        </w:rPr>
        <w:t>Statutory and Regulatory Citations Index</w:t>
      </w:r>
    </w:p>
    <w:p w14:paraId="14E8B2BD" w14:textId="77777777" w:rsidR="005432B9" w:rsidRPr="00B8015B" w:rsidRDefault="00000000">
      <w:pPr>
        <w:pStyle w:val="Heading3"/>
        <w:rPr>
          <w:rFonts w:ascii="Avenir Book" w:hAnsi="Avenir Book"/>
        </w:rPr>
      </w:pPr>
      <w:bookmarkStart w:id="37" w:name="texas-family-code"/>
      <w:r w:rsidRPr="00B8015B">
        <w:rPr>
          <w:rFonts w:ascii="Avenir Book" w:hAnsi="Avenir Book"/>
        </w:rPr>
        <w:t>Texas Family Code</w:t>
      </w:r>
    </w:p>
    <w:p w14:paraId="3E1DBF0C" w14:textId="77777777" w:rsidR="005432B9" w:rsidRPr="00B8015B" w:rsidRDefault="00000000">
      <w:pPr>
        <w:pStyle w:val="Compact"/>
        <w:numPr>
          <w:ilvl w:val="0"/>
          <w:numId w:val="17"/>
        </w:numPr>
        <w:rPr>
          <w:rFonts w:ascii="Avenir Book" w:hAnsi="Avenir Book"/>
        </w:rPr>
      </w:pPr>
      <w:r w:rsidRPr="00B8015B">
        <w:rPr>
          <w:rFonts w:ascii="Avenir Book" w:hAnsi="Avenir Book"/>
        </w:rPr>
        <w:t>TFC Section 3.001 – Separate Property</w:t>
      </w:r>
    </w:p>
    <w:p w14:paraId="163706A7" w14:textId="77777777" w:rsidR="005432B9" w:rsidRPr="00B8015B" w:rsidRDefault="00000000">
      <w:pPr>
        <w:pStyle w:val="Compact"/>
        <w:numPr>
          <w:ilvl w:val="0"/>
          <w:numId w:val="17"/>
        </w:numPr>
        <w:rPr>
          <w:rFonts w:ascii="Avenir Book" w:hAnsi="Avenir Book"/>
        </w:rPr>
      </w:pPr>
      <w:r w:rsidRPr="00B8015B">
        <w:rPr>
          <w:rFonts w:ascii="Avenir Book" w:hAnsi="Avenir Book"/>
        </w:rPr>
        <w:t>TFC Section 3.002 – Community Property</w:t>
      </w:r>
    </w:p>
    <w:p w14:paraId="5806FF98" w14:textId="77777777" w:rsidR="005432B9" w:rsidRPr="00B8015B" w:rsidRDefault="00000000">
      <w:pPr>
        <w:pStyle w:val="Compact"/>
        <w:numPr>
          <w:ilvl w:val="0"/>
          <w:numId w:val="17"/>
        </w:numPr>
        <w:rPr>
          <w:rFonts w:ascii="Avenir Book" w:hAnsi="Avenir Book"/>
        </w:rPr>
      </w:pPr>
      <w:r w:rsidRPr="00B8015B">
        <w:rPr>
          <w:rFonts w:ascii="Avenir Book" w:hAnsi="Avenir Book"/>
        </w:rPr>
        <w:t>TFC Section 3.003 – Presumption of Community Property (Clear and Convincing Evidence Standard)</w:t>
      </w:r>
    </w:p>
    <w:p w14:paraId="1F885CA3" w14:textId="77777777" w:rsidR="005432B9" w:rsidRPr="00B8015B" w:rsidRDefault="00000000">
      <w:pPr>
        <w:pStyle w:val="Compact"/>
        <w:numPr>
          <w:ilvl w:val="0"/>
          <w:numId w:val="17"/>
        </w:numPr>
        <w:rPr>
          <w:rFonts w:ascii="Avenir Book" w:hAnsi="Avenir Book"/>
        </w:rPr>
      </w:pPr>
      <w:r w:rsidRPr="00B8015B">
        <w:rPr>
          <w:rFonts w:ascii="Avenir Book" w:hAnsi="Avenir Book"/>
        </w:rPr>
        <w:t>TFC Section 3.402 – Reimbursement Claims</w:t>
      </w:r>
    </w:p>
    <w:p w14:paraId="4D569AB4" w14:textId="77777777" w:rsidR="005432B9" w:rsidRPr="00B8015B" w:rsidRDefault="00000000">
      <w:pPr>
        <w:pStyle w:val="Compact"/>
        <w:numPr>
          <w:ilvl w:val="0"/>
          <w:numId w:val="17"/>
        </w:numPr>
        <w:rPr>
          <w:rFonts w:ascii="Avenir Book" w:hAnsi="Avenir Book"/>
        </w:rPr>
      </w:pPr>
      <w:r w:rsidRPr="00B8015B">
        <w:rPr>
          <w:rFonts w:ascii="Avenir Book" w:hAnsi="Avenir Book"/>
        </w:rPr>
        <w:t>TFC Section 7.001 – General Rule of Property Division (“Just and Right”)</w:t>
      </w:r>
    </w:p>
    <w:p w14:paraId="0E79BBCB" w14:textId="77777777" w:rsidR="005432B9" w:rsidRPr="00B8015B" w:rsidRDefault="00000000">
      <w:pPr>
        <w:pStyle w:val="Compact"/>
        <w:numPr>
          <w:ilvl w:val="0"/>
          <w:numId w:val="17"/>
        </w:numPr>
        <w:rPr>
          <w:rFonts w:ascii="Avenir Book" w:hAnsi="Avenir Book"/>
        </w:rPr>
      </w:pPr>
      <w:r w:rsidRPr="00B8015B">
        <w:rPr>
          <w:rFonts w:ascii="Avenir Book" w:hAnsi="Avenir Book"/>
        </w:rPr>
        <w:t>TFC Section 7.002 – Division of Certain Undivided Interests</w:t>
      </w:r>
    </w:p>
    <w:p w14:paraId="6F260A66" w14:textId="77777777" w:rsidR="005432B9" w:rsidRPr="00B8015B" w:rsidRDefault="00000000">
      <w:pPr>
        <w:pStyle w:val="Heading3"/>
        <w:rPr>
          <w:rFonts w:ascii="Avenir Book" w:hAnsi="Avenir Book"/>
        </w:rPr>
      </w:pPr>
      <w:bookmarkStart w:id="38" w:name="federal-tax-code"/>
      <w:bookmarkEnd w:id="37"/>
      <w:r w:rsidRPr="00B8015B">
        <w:rPr>
          <w:rFonts w:ascii="Avenir Book" w:hAnsi="Avenir Book"/>
        </w:rPr>
        <w:t>Federal Tax Code</w:t>
      </w:r>
    </w:p>
    <w:p w14:paraId="2169D8FA" w14:textId="77777777" w:rsidR="005432B9" w:rsidRPr="00B8015B" w:rsidRDefault="00000000">
      <w:pPr>
        <w:pStyle w:val="Compact"/>
        <w:numPr>
          <w:ilvl w:val="0"/>
          <w:numId w:val="18"/>
        </w:numPr>
        <w:rPr>
          <w:rFonts w:ascii="Avenir Book" w:hAnsi="Avenir Book"/>
        </w:rPr>
      </w:pPr>
      <w:r w:rsidRPr="00B8015B">
        <w:rPr>
          <w:rFonts w:ascii="Avenir Book" w:hAnsi="Avenir Book"/>
        </w:rPr>
        <w:t>IRC Section 1041 – Transfers of Property Between Spouses or Incident to Divorce</w:t>
      </w:r>
    </w:p>
    <w:p w14:paraId="74B5B447" w14:textId="77777777" w:rsidR="005432B9" w:rsidRPr="00B8015B" w:rsidRDefault="00000000">
      <w:pPr>
        <w:pStyle w:val="Compact"/>
        <w:numPr>
          <w:ilvl w:val="0"/>
          <w:numId w:val="18"/>
        </w:numPr>
        <w:rPr>
          <w:rFonts w:ascii="Avenir Book" w:hAnsi="Avenir Book"/>
        </w:rPr>
      </w:pPr>
      <w:r w:rsidRPr="00B8015B">
        <w:rPr>
          <w:rFonts w:ascii="Avenir Book" w:hAnsi="Avenir Book"/>
        </w:rPr>
        <w:t>IRC Section 1400Z-2(a) – Deferring Tax on Capital Gains by Investing in Opportunity Zones</w:t>
      </w:r>
    </w:p>
    <w:p w14:paraId="79D1F03D" w14:textId="77777777" w:rsidR="005432B9" w:rsidRPr="00B8015B" w:rsidRDefault="00000000">
      <w:pPr>
        <w:pStyle w:val="Compact"/>
        <w:numPr>
          <w:ilvl w:val="0"/>
          <w:numId w:val="18"/>
        </w:numPr>
        <w:rPr>
          <w:rFonts w:ascii="Avenir Book" w:hAnsi="Avenir Book"/>
        </w:rPr>
      </w:pPr>
      <w:r w:rsidRPr="00B8015B">
        <w:rPr>
          <w:rFonts w:ascii="Avenir Book" w:hAnsi="Avenir Book"/>
        </w:rPr>
        <w:t>IRC Section 1400Z-2(b)(1) – Inclusion of Deferred Gain (December 31, 2026 Deadline)</w:t>
      </w:r>
    </w:p>
    <w:p w14:paraId="05FA5C4F" w14:textId="77777777" w:rsidR="005432B9" w:rsidRPr="00B8015B" w:rsidRDefault="00000000">
      <w:pPr>
        <w:pStyle w:val="Compact"/>
        <w:numPr>
          <w:ilvl w:val="0"/>
          <w:numId w:val="18"/>
        </w:numPr>
        <w:rPr>
          <w:rFonts w:ascii="Avenir Book" w:hAnsi="Avenir Book"/>
        </w:rPr>
      </w:pPr>
      <w:r w:rsidRPr="00B8015B">
        <w:rPr>
          <w:rFonts w:ascii="Avenir Book" w:hAnsi="Avenir Book"/>
        </w:rPr>
        <w:t>IRC Section 1400Z-2(b)(2)(B) – Basis Adjustments for QOF Investments</w:t>
      </w:r>
    </w:p>
    <w:p w14:paraId="70B3F7D2" w14:textId="77777777" w:rsidR="005432B9" w:rsidRPr="00B8015B" w:rsidRDefault="00000000">
      <w:pPr>
        <w:pStyle w:val="Compact"/>
        <w:numPr>
          <w:ilvl w:val="0"/>
          <w:numId w:val="18"/>
        </w:numPr>
        <w:rPr>
          <w:rFonts w:ascii="Avenir Book" w:hAnsi="Avenir Book"/>
        </w:rPr>
      </w:pPr>
      <w:r w:rsidRPr="00B8015B">
        <w:rPr>
          <w:rFonts w:ascii="Avenir Book" w:hAnsi="Avenir Book"/>
        </w:rPr>
        <w:t>IRC Section 1400Z-2(c) – 10-Year Holding Period Exclusion</w:t>
      </w:r>
    </w:p>
    <w:p w14:paraId="43372B2D" w14:textId="77777777" w:rsidR="005432B9" w:rsidRPr="00B8015B" w:rsidRDefault="00000000">
      <w:pPr>
        <w:pStyle w:val="Compact"/>
        <w:numPr>
          <w:ilvl w:val="0"/>
          <w:numId w:val="18"/>
        </w:numPr>
        <w:rPr>
          <w:rFonts w:ascii="Avenir Book" w:hAnsi="Avenir Book"/>
        </w:rPr>
      </w:pPr>
      <w:r w:rsidRPr="00B8015B">
        <w:rPr>
          <w:rFonts w:ascii="Avenir Book" w:hAnsi="Avenir Book"/>
        </w:rPr>
        <w:t>IRC Section 6013(a) – Joint Return Filing Requirements</w:t>
      </w:r>
    </w:p>
    <w:p w14:paraId="368028CD" w14:textId="77777777" w:rsidR="005432B9" w:rsidRPr="00B8015B" w:rsidRDefault="00000000">
      <w:pPr>
        <w:pStyle w:val="Heading3"/>
        <w:rPr>
          <w:rFonts w:ascii="Avenir Book" w:hAnsi="Avenir Book"/>
        </w:rPr>
      </w:pPr>
      <w:bookmarkStart w:id="39" w:name="treasury-regulations"/>
      <w:bookmarkEnd w:id="38"/>
      <w:r w:rsidRPr="00B8015B">
        <w:rPr>
          <w:rFonts w:ascii="Avenir Book" w:hAnsi="Avenir Book"/>
        </w:rPr>
        <w:t>Treasury Regulations</w:t>
      </w:r>
    </w:p>
    <w:p w14:paraId="6DAA16F0" w14:textId="77777777" w:rsidR="005432B9" w:rsidRPr="00B8015B" w:rsidRDefault="00000000">
      <w:pPr>
        <w:pStyle w:val="Compact"/>
        <w:numPr>
          <w:ilvl w:val="0"/>
          <w:numId w:val="19"/>
        </w:numPr>
        <w:rPr>
          <w:rFonts w:ascii="Avenir Book" w:hAnsi="Avenir Book"/>
        </w:rPr>
      </w:pPr>
      <w:r w:rsidRPr="00B8015B">
        <w:rPr>
          <w:rFonts w:ascii="Avenir Book" w:hAnsi="Avenir Book"/>
        </w:rPr>
        <w:t>Treas. Reg. Section 1.1400Z2(a)-1 – Deferring Capital Gains</w:t>
      </w:r>
    </w:p>
    <w:p w14:paraId="313EE68E" w14:textId="77777777" w:rsidR="005432B9" w:rsidRPr="00B8015B" w:rsidRDefault="00000000">
      <w:pPr>
        <w:pStyle w:val="Compact"/>
        <w:numPr>
          <w:ilvl w:val="0"/>
          <w:numId w:val="19"/>
        </w:numPr>
        <w:rPr>
          <w:rFonts w:ascii="Avenir Book" w:hAnsi="Avenir Book"/>
        </w:rPr>
      </w:pPr>
      <w:r w:rsidRPr="00B8015B">
        <w:rPr>
          <w:rFonts w:ascii="Avenir Book" w:hAnsi="Avenir Book"/>
        </w:rPr>
        <w:t>Treas. Reg. Section 1.1400Z2(b)-1 – Inclusion of Deferred Gains</w:t>
      </w:r>
    </w:p>
    <w:p w14:paraId="551FA8AE" w14:textId="77777777" w:rsidR="005432B9" w:rsidRPr="00B8015B" w:rsidRDefault="00000000">
      <w:pPr>
        <w:pStyle w:val="Compact"/>
        <w:numPr>
          <w:ilvl w:val="0"/>
          <w:numId w:val="19"/>
        </w:numPr>
        <w:rPr>
          <w:rFonts w:ascii="Avenir Book" w:hAnsi="Avenir Book"/>
        </w:rPr>
      </w:pPr>
      <w:r w:rsidRPr="00B8015B">
        <w:rPr>
          <w:rFonts w:ascii="Avenir Book" w:hAnsi="Avenir Book"/>
        </w:rPr>
        <w:lastRenderedPageBreak/>
        <w:t>Treas. Reg. Section 1.1400Z2(b)-1(c) – Inclusion Events (including spousal/divorce transfers)</w:t>
      </w:r>
    </w:p>
    <w:p w14:paraId="3A9705E9" w14:textId="77777777" w:rsidR="005432B9" w:rsidRPr="00B8015B" w:rsidRDefault="00000000">
      <w:pPr>
        <w:pStyle w:val="Compact"/>
        <w:numPr>
          <w:ilvl w:val="0"/>
          <w:numId w:val="19"/>
        </w:numPr>
        <w:rPr>
          <w:rFonts w:ascii="Avenir Book" w:hAnsi="Avenir Book"/>
        </w:rPr>
      </w:pPr>
      <w:r w:rsidRPr="00B8015B">
        <w:rPr>
          <w:rFonts w:ascii="Avenir Book" w:hAnsi="Avenir Book"/>
        </w:rPr>
        <w:t>Treas. Reg. Section 1.1400Z2(c)-1 – 10-Year Holding Period Rules</w:t>
      </w:r>
    </w:p>
    <w:p w14:paraId="4ECA884C" w14:textId="77777777" w:rsidR="005432B9" w:rsidRPr="00B8015B" w:rsidRDefault="00000000">
      <w:pPr>
        <w:pStyle w:val="Compact"/>
        <w:numPr>
          <w:ilvl w:val="0"/>
          <w:numId w:val="19"/>
        </w:numPr>
        <w:rPr>
          <w:rFonts w:ascii="Avenir Book" w:hAnsi="Avenir Book"/>
        </w:rPr>
      </w:pPr>
      <w:r w:rsidRPr="00B8015B">
        <w:rPr>
          <w:rFonts w:ascii="Avenir Book" w:hAnsi="Avenir Book"/>
        </w:rPr>
        <w:t>Treas. Reg. Section 1.1041-1T – Treatment of Transfers Incident to Divorce</w:t>
      </w:r>
    </w:p>
    <w:p w14:paraId="4ADB9E7B" w14:textId="77777777" w:rsidR="005432B9" w:rsidRPr="00B8015B" w:rsidRDefault="00000000">
      <w:pPr>
        <w:pStyle w:val="Heading3"/>
        <w:rPr>
          <w:rFonts w:ascii="Avenir Book" w:hAnsi="Avenir Book"/>
        </w:rPr>
      </w:pPr>
      <w:bookmarkStart w:id="40" w:name="texas-case-law"/>
      <w:bookmarkEnd w:id="39"/>
      <w:r w:rsidRPr="00B8015B">
        <w:rPr>
          <w:rFonts w:ascii="Avenir Book" w:hAnsi="Avenir Book"/>
        </w:rPr>
        <w:t>Texas Case Law</w:t>
      </w:r>
    </w:p>
    <w:p w14:paraId="665BAA79" w14:textId="77777777" w:rsidR="005432B9" w:rsidRPr="00B8015B" w:rsidRDefault="00000000">
      <w:pPr>
        <w:pStyle w:val="Compact"/>
        <w:numPr>
          <w:ilvl w:val="0"/>
          <w:numId w:val="20"/>
        </w:numPr>
        <w:rPr>
          <w:rFonts w:ascii="Avenir Book" w:hAnsi="Avenir Book"/>
        </w:rPr>
      </w:pPr>
      <w:r w:rsidRPr="00B8015B">
        <w:rPr>
          <w:rFonts w:ascii="Avenir Book" w:hAnsi="Avenir Book"/>
          <w:i/>
          <w:iCs/>
        </w:rPr>
        <w:t>Henry S. Miller Co. v. Evans</w:t>
      </w:r>
      <w:r w:rsidRPr="00B8015B">
        <w:rPr>
          <w:rFonts w:ascii="Avenir Book" w:hAnsi="Avenir Book"/>
        </w:rPr>
        <w:t>, 452 S.W.2d 426, 430 (Tex. 1970) – Inception of Title Doctrine</w:t>
      </w:r>
    </w:p>
    <w:p w14:paraId="65A7E355" w14:textId="77777777" w:rsidR="005432B9" w:rsidRPr="00B8015B" w:rsidRDefault="00000000">
      <w:pPr>
        <w:pStyle w:val="Compact"/>
        <w:numPr>
          <w:ilvl w:val="0"/>
          <w:numId w:val="20"/>
        </w:numPr>
        <w:rPr>
          <w:rFonts w:ascii="Avenir Book" w:hAnsi="Avenir Book"/>
        </w:rPr>
      </w:pPr>
      <w:r w:rsidRPr="00B8015B">
        <w:rPr>
          <w:rFonts w:ascii="Avenir Book" w:hAnsi="Avenir Book"/>
          <w:i/>
          <w:iCs/>
        </w:rPr>
        <w:t>Murff v. Murff</w:t>
      </w:r>
      <w:r w:rsidRPr="00B8015B">
        <w:rPr>
          <w:rFonts w:ascii="Avenir Book" w:hAnsi="Avenir Book"/>
        </w:rPr>
        <w:t>, 615 S.W.2d 696 (Tex. 1981) – Factors for “Just and Right” Division</w:t>
      </w:r>
    </w:p>
    <w:p w14:paraId="74C92BFC" w14:textId="77777777" w:rsidR="005432B9" w:rsidRPr="00B8015B" w:rsidRDefault="00000000">
      <w:pPr>
        <w:pStyle w:val="Compact"/>
        <w:numPr>
          <w:ilvl w:val="0"/>
          <w:numId w:val="20"/>
        </w:numPr>
        <w:rPr>
          <w:rFonts w:ascii="Avenir Book" w:hAnsi="Avenir Book"/>
        </w:rPr>
      </w:pPr>
      <w:r w:rsidRPr="00B8015B">
        <w:rPr>
          <w:rFonts w:ascii="Avenir Book" w:hAnsi="Avenir Book"/>
          <w:i/>
          <w:iCs/>
        </w:rPr>
        <w:t>Jensen v. Jensen</w:t>
      </w:r>
      <w:r w:rsidRPr="00B8015B">
        <w:rPr>
          <w:rFonts w:ascii="Avenir Book" w:hAnsi="Avenir Book"/>
        </w:rPr>
        <w:t>, 665 S.W.2d 107 (Tex. 1984) – Community Reimbursement Claims</w:t>
      </w:r>
    </w:p>
    <w:p w14:paraId="64A96944" w14:textId="77777777" w:rsidR="005432B9" w:rsidRPr="00B8015B" w:rsidRDefault="00000000">
      <w:pPr>
        <w:pStyle w:val="Compact"/>
        <w:numPr>
          <w:ilvl w:val="0"/>
          <w:numId w:val="20"/>
        </w:numPr>
        <w:rPr>
          <w:rFonts w:ascii="Avenir Book" w:hAnsi="Avenir Book"/>
        </w:rPr>
      </w:pPr>
      <w:r w:rsidRPr="00B8015B">
        <w:rPr>
          <w:rFonts w:ascii="Avenir Book" w:hAnsi="Avenir Book"/>
          <w:i/>
          <w:iCs/>
        </w:rPr>
        <w:t>Smith v. Smith</w:t>
      </w:r>
      <w:r w:rsidRPr="00B8015B">
        <w:rPr>
          <w:rFonts w:ascii="Avenir Book" w:hAnsi="Avenir Book"/>
        </w:rPr>
        <w:t>, 22 S.W.3d 140, 145 (Tex. App.–Houston [14th Dist.] 2000, no pet.) – Tracing Separate Property</w:t>
      </w:r>
    </w:p>
    <w:p w14:paraId="5238462B" w14:textId="77777777" w:rsidR="005432B9" w:rsidRPr="00B8015B" w:rsidRDefault="00000000">
      <w:pPr>
        <w:pStyle w:val="Heading3"/>
        <w:rPr>
          <w:rFonts w:ascii="Avenir Book" w:hAnsi="Avenir Book"/>
        </w:rPr>
      </w:pPr>
      <w:bookmarkStart w:id="41" w:name="irs-guidance"/>
      <w:bookmarkEnd w:id="40"/>
      <w:r w:rsidRPr="00B8015B">
        <w:rPr>
          <w:rFonts w:ascii="Avenir Book" w:hAnsi="Avenir Book"/>
        </w:rPr>
        <w:t>IRS Guidance</w:t>
      </w:r>
    </w:p>
    <w:p w14:paraId="53E8D21C" w14:textId="77777777" w:rsidR="005432B9" w:rsidRPr="00B8015B" w:rsidRDefault="00000000">
      <w:pPr>
        <w:pStyle w:val="Compact"/>
        <w:numPr>
          <w:ilvl w:val="0"/>
          <w:numId w:val="21"/>
        </w:numPr>
        <w:rPr>
          <w:rFonts w:ascii="Avenir Book" w:hAnsi="Avenir Book"/>
        </w:rPr>
      </w:pPr>
      <w:r w:rsidRPr="00B8015B">
        <w:rPr>
          <w:rFonts w:ascii="Avenir Book" w:hAnsi="Avenir Book"/>
        </w:rPr>
        <w:t>IRS Opportunity Zones FAQ (Q30, Q31, Q33, Q34, Q35) – Inclusion Events, Spousal Transfers, Divorce Transfers</w:t>
      </w:r>
    </w:p>
    <w:p w14:paraId="25D16AFE" w14:textId="77777777" w:rsidR="005432B9" w:rsidRPr="00B8015B" w:rsidRDefault="00000000">
      <w:pPr>
        <w:pStyle w:val="Compact"/>
        <w:numPr>
          <w:ilvl w:val="0"/>
          <w:numId w:val="21"/>
        </w:numPr>
        <w:rPr>
          <w:rFonts w:ascii="Avenir Book" w:hAnsi="Avenir Book"/>
        </w:rPr>
      </w:pPr>
      <w:r w:rsidRPr="00B8015B">
        <w:rPr>
          <w:rFonts w:ascii="Avenir Book" w:hAnsi="Avenir Book"/>
        </w:rPr>
        <w:t>Form 8997 – Initial and Annual Statement of Qualified Opportunity Fund Investments</w:t>
      </w:r>
    </w:p>
    <w:p w14:paraId="6E025E8C" w14:textId="77777777" w:rsidR="005432B9" w:rsidRPr="00B8015B" w:rsidRDefault="00000000">
      <w:pPr>
        <w:pStyle w:val="Compact"/>
        <w:numPr>
          <w:ilvl w:val="0"/>
          <w:numId w:val="21"/>
        </w:numPr>
        <w:rPr>
          <w:rFonts w:ascii="Avenir Book" w:hAnsi="Avenir Book"/>
        </w:rPr>
      </w:pPr>
      <w:r w:rsidRPr="00B8015B">
        <w:rPr>
          <w:rFonts w:ascii="Avenir Book" w:hAnsi="Avenir Book"/>
        </w:rPr>
        <w:t>Form 8949 – Sales and Other Dispositions of Capital Assets</w:t>
      </w:r>
    </w:p>
    <w:p w14:paraId="6BF21D9D" w14:textId="77777777" w:rsidR="005432B9" w:rsidRPr="00B8015B" w:rsidRDefault="00000000">
      <w:pPr>
        <w:pStyle w:val="Compact"/>
        <w:numPr>
          <w:ilvl w:val="0"/>
          <w:numId w:val="21"/>
        </w:numPr>
        <w:rPr>
          <w:rFonts w:ascii="Avenir Book" w:hAnsi="Avenir Book"/>
        </w:rPr>
      </w:pPr>
      <w:r w:rsidRPr="00B8015B">
        <w:rPr>
          <w:rFonts w:ascii="Avenir Book" w:hAnsi="Avenir Book"/>
        </w:rPr>
        <w:t>Form 8996 – Qualified Opportunity Fund Certification</w:t>
      </w:r>
    </w:p>
    <w:p w14:paraId="4266FA82" w14:textId="77777777" w:rsidR="005432B9" w:rsidRPr="00B8015B" w:rsidRDefault="00286CC4">
      <w:pPr>
        <w:rPr>
          <w:rFonts w:ascii="Avenir Book" w:hAnsi="Avenir Book"/>
        </w:rPr>
      </w:pPr>
      <w:r w:rsidRPr="00286CC4">
        <w:rPr>
          <w:rFonts w:ascii="Avenir Book" w:hAnsi="Avenir Book"/>
          <w:noProof/>
        </w:rPr>
        <w:pict w14:anchorId="62681534">
          <v:rect id="_x0000_i1025" alt="" style="width:468pt;height:.05pt;mso-width-percent:0;mso-height-percent:0;mso-width-percent:0;mso-height-percent:0" o:hralign="center" o:hrstd="t" o:hr="t"/>
        </w:pict>
      </w:r>
    </w:p>
    <w:p w14:paraId="03A52B6A" w14:textId="77777777" w:rsidR="005432B9" w:rsidRPr="00B8015B" w:rsidRDefault="00000000">
      <w:pPr>
        <w:pStyle w:val="Heading2"/>
        <w:rPr>
          <w:rFonts w:ascii="Avenir Book" w:hAnsi="Avenir Book"/>
        </w:rPr>
      </w:pPr>
      <w:bookmarkStart w:id="42" w:name="sources"/>
      <w:bookmarkEnd w:id="36"/>
      <w:bookmarkEnd w:id="41"/>
      <w:r w:rsidRPr="00B8015B">
        <w:rPr>
          <w:rFonts w:ascii="Avenir Book" w:hAnsi="Avenir Book"/>
        </w:rPr>
        <w:t>Sources</w:t>
      </w:r>
    </w:p>
    <w:p w14:paraId="727F4158" w14:textId="77777777" w:rsidR="005432B9" w:rsidRPr="00B8015B" w:rsidRDefault="00000000">
      <w:pPr>
        <w:pStyle w:val="Compact"/>
        <w:numPr>
          <w:ilvl w:val="0"/>
          <w:numId w:val="22"/>
        </w:numPr>
        <w:rPr>
          <w:rFonts w:ascii="Avenir Book" w:hAnsi="Avenir Book"/>
        </w:rPr>
      </w:pPr>
      <w:hyperlink r:id="rId5">
        <w:r w:rsidRPr="00B8015B">
          <w:rPr>
            <w:rStyle w:val="Hyperlink"/>
            <w:rFonts w:ascii="Avenir Book" w:hAnsi="Avenir Book"/>
          </w:rPr>
          <w:t>Texas Family Code Chapter 3 – Marital Property Rights</w:t>
        </w:r>
      </w:hyperlink>
    </w:p>
    <w:p w14:paraId="16FAC3E2" w14:textId="77777777" w:rsidR="005432B9" w:rsidRPr="00B8015B" w:rsidRDefault="00000000">
      <w:pPr>
        <w:pStyle w:val="Compact"/>
        <w:numPr>
          <w:ilvl w:val="0"/>
          <w:numId w:val="22"/>
        </w:numPr>
        <w:rPr>
          <w:rFonts w:ascii="Avenir Book" w:hAnsi="Avenir Book"/>
        </w:rPr>
      </w:pPr>
      <w:hyperlink r:id="rId6">
        <w:r w:rsidRPr="00B8015B">
          <w:rPr>
            <w:rStyle w:val="Hyperlink"/>
            <w:rFonts w:ascii="Avenir Book" w:hAnsi="Avenir Book"/>
          </w:rPr>
          <w:t>Texas Family Code Chapter 7 – Award of Marital Property</w:t>
        </w:r>
      </w:hyperlink>
    </w:p>
    <w:p w14:paraId="2D3972C5" w14:textId="77777777" w:rsidR="005432B9" w:rsidRPr="00B8015B" w:rsidRDefault="00000000">
      <w:pPr>
        <w:pStyle w:val="Compact"/>
        <w:numPr>
          <w:ilvl w:val="0"/>
          <w:numId w:val="22"/>
        </w:numPr>
        <w:rPr>
          <w:rFonts w:ascii="Avenir Book" w:hAnsi="Avenir Book"/>
        </w:rPr>
      </w:pPr>
      <w:hyperlink r:id="rId7">
        <w:r w:rsidRPr="00B8015B">
          <w:rPr>
            <w:rStyle w:val="Hyperlink"/>
            <w:rFonts w:ascii="Avenir Book" w:hAnsi="Avenir Book"/>
          </w:rPr>
          <w:t>26 CFR Section 1.1400Z2(b)-1 – Inclusion of Deferred Gains (Cornell LII)</w:t>
        </w:r>
      </w:hyperlink>
    </w:p>
    <w:p w14:paraId="0FF4B5DA" w14:textId="77777777" w:rsidR="005432B9" w:rsidRPr="00B8015B" w:rsidRDefault="00000000">
      <w:pPr>
        <w:pStyle w:val="Compact"/>
        <w:numPr>
          <w:ilvl w:val="0"/>
          <w:numId w:val="22"/>
        </w:numPr>
        <w:rPr>
          <w:rFonts w:ascii="Avenir Book" w:hAnsi="Avenir Book"/>
        </w:rPr>
      </w:pPr>
      <w:hyperlink r:id="rId8">
        <w:r w:rsidRPr="00B8015B">
          <w:rPr>
            <w:rStyle w:val="Hyperlink"/>
            <w:rFonts w:ascii="Avenir Book" w:hAnsi="Avenir Book"/>
          </w:rPr>
          <w:t>26 CFR Section 1.1041-1T – Transfers Incident to Divorce (Cornell LII)</w:t>
        </w:r>
      </w:hyperlink>
    </w:p>
    <w:p w14:paraId="39F12E35" w14:textId="77777777" w:rsidR="005432B9" w:rsidRPr="00B8015B" w:rsidRDefault="00000000">
      <w:pPr>
        <w:pStyle w:val="Compact"/>
        <w:numPr>
          <w:ilvl w:val="0"/>
          <w:numId w:val="22"/>
        </w:numPr>
        <w:rPr>
          <w:rFonts w:ascii="Avenir Book" w:hAnsi="Avenir Book"/>
        </w:rPr>
      </w:pPr>
      <w:hyperlink r:id="rId9">
        <w:r w:rsidRPr="00B8015B">
          <w:rPr>
            <w:rStyle w:val="Hyperlink"/>
            <w:rFonts w:ascii="Avenir Book" w:hAnsi="Avenir Book"/>
          </w:rPr>
          <w:t>26 USC Section 1041 – Transfers Between Spouses (Cornell LII)</w:t>
        </w:r>
      </w:hyperlink>
    </w:p>
    <w:p w14:paraId="74868210" w14:textId="77777777" w:rsidR="005432B9" w:rsidRPr="00B8015B" w:rsidRDefault="00000000">
      <w:pPr>
        <w:pStyle w:val="Compact"/>
        <w:numPr>
          <w:ilvl w:val="0"/>
          <w:numId w:val="22"/>
        </w:numPr>
        <w:rPr>
          <w:rFonts w:ascii="Avenir Book" w:hAnsi="Avenir Book"/>
        </w:rPr>
      </w:pPr>
      <w:hyperlink r:id="rId10">
        <w:r w:rsidRPr="00B8015B">
          <w:rPr>
            <w:rStyle w:val="Hyperlink"/>
            <w:rFonts w:ascii="Avenir Book" w:hAnsi="Avenir Book"/>
          </w:rPr>
          <w:t>IRS Opportunity Zones FAQ</w:t>
        </w:r>
      </w:hyperlink>
    </w:p>
    <w:p w14:paraId="6738A5B5" w14:textId="77777777" w:rsidR="005432B9" w:rsidRPr="00B8015B" w:rsidRDefault="00000000">
      <w:pPr>
        <w:pStyle w:val="Compact"/>
        <w:numPr>
          <w:ilvl w:val="0"/>
          <w:numId w:val="22"/>
        </w:numPr>
        <w:rPr>
          <w:rFonts w:ascii="Avenir Book" w:hAnsi="Avenir Book"/>
        </w:rPr>
      </w:pPr>
      <w:hyperlink r:id="rId11">
        <w:r w:rsidRPr="00B8015B">
          <w:rPr>
            <w:rStyle w:val="Hyperlink"/>
            <w:rFonts w:ascii="Avenir Book" w:hAnsi="Avenir Book"/>
          </w:rPr>
          <w:t>BDO: Managing 2026 Income Taxes on QOZ Fund Investments</w:t>
        </w:r>
      </w:hyperlink>
    </w:p>
    <w:p w14:paraId="033A0160" w14:textId="77777777" w:rsidR="005432B9" w:rsidRPr="00B8015B" w:rsidRDefault="00000000">
      <w:pPr>
        <w:pStyle w:val="Compact"/>
        <w:numPr>
          <w:ilvl w:val="0"/>
          <w:numId w:val="22"/>
        </w:numPr>
        <w:rPr>
          <w:rFonts w:ascii="Avenir Book" w:hAnsi="Avenir Book"/>
        </w:rPr>
      </w:pPr>
      <w:hyperlink r:id="rId12">
        <w:r w:rsidRPr="00B8015B">
          <w:rPr>
            <w:rStyle w:val="Hyperlink"/>
            <w:rFonts w:ascii="Avenir Book" w:hAnsi="Avenir Book"/>
          </w:rPr>
          <w:t>The Tax Adviser: The Close of Deferral – Planning for the QOZ End Game</w:t>
        </w:r>
      </w:hyperlink>
    </w:p>
    <w:p w14:paraId="63537393" w14:textId="77777777" w:rsidR="005432B9" w:rsidRPr="00B8015B" w:rsidRDefault="00000000">
      <w:pPr>
        <w:pStyle w:val="Compact"/>
        <w:numPr>
          <w:ilvl w:val="0"/>
          <w:numId w:val="22"/>
        </w:numPr>
        <w:rPr>
          <w:rFonts w:ascii="Avenir Book" w:hAnsi="Avenir Book"/>
        </w:rPr>
      </w:pPr>
      <w:hyperlink r:id="rId13">
        <w:r w:rsidRPr="00B8015B">
          <w:rPr>
            <w:rStyle w:val="Hyperlink"/>
            <w:rFonts w:ascii="Avenir Book" w:hAnsi="Avenir Book"/>
          </w:rPr>
          <w:t>Murff v. Murff – Texas Supreme Court (Justia)</w:t>
        </w:r>
      </w:hyperlink>
    </w:p>
    <w:p w14:paraId="1385B4FC" w14:textId="77777777" w:rsidR="005432B9" w:rsidRPr="00B8015B" w:rsidRDefault="00000000">
      <w:pPr>
        <w:pStyle w:val="Compact"/>
        <w:numPr>
          <w:ilvl w:val="0"/>
          <w:numId w:val="22"/>
        </w:numPr>
        <w:rPr>
          <w:rFonts w:ascii="Avenir Book" w:hAnsi="Avenir Book"/>
        </w:rPr>
      </w:pPr>
      <w:hyperlink r:id="rId14">
        <w:r w:rsidRPr="00B8015B">
          <w:rPr>
            <w:rStyle w:val="Hyperlink"/>
            <w:rFonts w:ascii="Avenir Book" w:hAnsi="Avenir Book"/>
          </w:rPr>
          <w:t>Henry S. Miller Co. v. Evans – Inception of Title</w:t>
        </w:r>
      </w:hyperlink>
    </w:p>
    <w:p w14:paraId="0B7CE537" w14:textId="77777777" w:rsidR="005432B9" w:rsidRPr="00B8015B" w:rsidRDefault="00000000">
      <w:pPr>
        <w:pStyle w:val="Compact"/>
        <w:numPr>
          <w:ilvl w:val="0"/>
          <w:numId w:val="22"/>
        </w:numPr>
        <w:rPr>
          <w:rFonts w:ascii="Avenir Book" w:hAnsi="Avenir Book"/>
        </w:rPr>
      </w:pPr>
      <w:hyperlink r:id="rId15">
        <w:r w:rsidRPr="00B8015B">
          <w:rPr>
            <w:rStyle w:val="Hyperlink"/>
            <w:rFonts w:ascii="Avenir Book" w:hAnsi="Avenir Book"/>
          </w:rPr>
          <w:t>Texas Marital Property Characterization and Tracing (Webb &amp; Ackels)</w:t>
        </w:r>
      </w:hyperlink>
    </w:p>
    <w:p w14:paraId="51723543" w14:textId="77777777" w:rsidR="005432B9" w:rsidRPr="00B8015B" w:rsidRDefault="00000000">
      <w:pPr>
        <w:pStyle w:val="Compact"/>
        <w:numPr>
          <w:ilvl w:val="0"/>
          <w:numId w:val="22"/>
        </w:numPr>
        <w:rPr>
          <w:rFonts w:ascii="Avenir Book" w:hAnsi="Avenir Book"/>
        </w:rPr>
      </w:pPr>
      <w:hyperlink r:id="rId16">
        <w:r w:rsidRPr="00B8015B">
          <w:rPr>
            <w:rStyle w:val="Hyperlink"/>
            <w:rFonts w:ascii="Avenir Book" w:hAnsi="Avenir Book"/>
          </w:rPr>
          <w:t>IRS: Invest in a Qualified Opportunity Fund</w:t>
        </w:r>
      </w:hyperlink>
    </w:p>
    <w:p w14:paraId="257233B8" w14:textId="77777777" w:rsidR="005432B9" w:rsidRPr="00B8015B" w:rsidRDefault="00000000">
      <w:pPr>
        <w:pStyle w:val="Compact"/>
        <w:numPr>
          <w:ilvl w:val="0"/>
          <w:numId w:val="22"/>
        </w:numPr>
        <w:rPr>
          <w:rFonts w:ascii="Avenir Book" w:hAnsi="Avenir Book"/>
        </w:rPr>
      </w:pPr>
      <w:hyperlink r:id="rId17">
        <w:r w:rsidRPr="00B8015B">
          <w:rPr>
            <w:rStyle w:val="Hyperlink"/>
            <w:rFonts w:ascii="Avenir Book" w:hAnsi="Avenir Book"/>
          </w:rPr>
          <w:t>Wells Fargo: Qualified Opportunity Zones</w:t>
        </w:r>
      </w:hyperlink>
    </w:p>
    <w:p w14:paraId="2936CE4C" w14:textId="77777777" w:rsidR="005432B9" w:rsidRPr="00B8015B" w:rsidRDefault="00000000">
      <w:pPr>
        <w:pStyle w:val="Compact"/>
        <w:numPr>
          <w:ilvl w:val="0"/>
          <w:numId w:val="22"/>
        </w:numPr>
        <w:rPr>
          <w:rFonts w:ascii="Avenir Book" w:hAnsi="Avenir Book"/>
        </w:rPr>
      </w:pPr>
      <w:hyperlink r:id="rId18">
        <w:r w:rsidRPr="00B8015B">
          <w:rPr>
            <w:rStyle w:val="Hyperlink"/>
            <w:rFonts w:ascii="Avenir Book" w:hAnsi="Avenir Book"/>
          </w:rPr>
          <w:t>Ballard Spahr: Final QOZ Regulations</w:t>
        </w:r>
      </w:hyperlink>
      <w:bookmarkEnd w:id="0"/>
      <w:bookmarkEnd w:id="42"/>
    </w:p>
    <w:sectPr w:rsidR="005432B9" w:rsidRPr="00B8015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venir Book">
    <w:panose1 w:val="02000503020000020003"/>
    <w:charset w:val="00"/>
    <w:family w:val="auto"/>
    <w:pitch w:val="variable"/>
    <w:sig w:usb0="800000A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4F85A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38085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9B1AD4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731"/>
    <w:multiLevelType w:val="multilevel"/>
    <w:tmpl w:val="123837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86089201">
    <w:abstractNumId w:val="0"/>
  </w:num>
  <w:num w:numId="2" w16cid:durableId="654722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33743">
    <w:abstractNumId w:val="1"/>
  </w:num>
  <w:num w:numId="4" w16cid:durableId="1895770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9492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316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932877">
    <w:abstractNumId w:val="1"/>
  </w:num>
  <w:num w:numId="8" w16cid:durableId="1473474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987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0933381">
    <w:abstractNumId w:val="1"/>
  </w:num>
  <w:num w:numId="11" w16cid:durableId="54471541">
    <w:abstractNumId w:val="1"/>
  </w:num>
  <w:num w:numId="12" w16cid:durableId="187837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655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1596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0636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9064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420406">
    <w:abstractNumId w:val="1"/>
  </w:num>
  <w:num w:numId="18" w16cid:durableId="1598100276">
    <w:abstractNumId w:val="1"/>
  </w:num>
  <w:num w:numId="19" w16cid:durableId="945428085">
    <w:abstractNumId w:val="1"/>
  </w:num>
  <w:num w:numId="20" w16cid:durableId="1615020208">
    <w:abstractNumId w:val="1"/>
  </w:num>
  <w:num w:numId="21" w16cid:durableId="1832061782">
    <w:abstractNumId w:val="1"/>
  </w:num>
  <w:num w:numId="22" w16cid:durableId="815604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9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5432B9"/>
    <w:rsid w:val="00286CC4"/>
    <w:rsid w:val="005432B9"/>
    <w:rsid w:val="00B8015B"/>
    <w:rsid w:val="00FD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4906"/>
  <w15:docId w15:val="{A688AA66-4AEF-F94D-AF20-9349A0BE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26/1.1041-1T" TargetMode="External"/><Relationship Id="rId13" Type="http://schemas.openxmlformats.org/officeDocument/2006/relationships/hyperlink" Target="https://law.justia.com/cases/texas/supreme-court/1981/b-9635-0.html" TargetMode="External"/><Relationship Id="rId18" Type="http://schemas.openxmlformats.org/officeDocument/2006/relationships/hyperlink" Target="https://www.ballardspahr.com/insights/alerts-and-articles/2020/01/qualified-opportunity-zones-final-regulations" TargetMode="External"/><Relationship Id="rId3" Type="http://schemas.openxmlformats.org/officeDocument/2006/relationships/settings" Target="settings.xml"/><Relationship Id="rId7" Type="http://schemas.openxmlformats.org/officeDocument/2006/relationships/hyperlink" Target="https://www.law.cornell.edu/cfr/text/26/1.1400Z2(b)-1" TargetMode="External"/><Relationship Id="rId12" Type="http://schemas.openxmlformats.org/officeDocument/2006/relationships/hyperlink" Target="https://www.thetaxadviser.com/newsletters/2025/apr/the-close-of-deferral-planning-for-the-qoz-end-game/" TargetMode="External"/><Relationship Id="rId17" Type="http://schemas.openxmlformats.org/officeDocument/2006/relationships/hyperlink" Target="https://www.wellsfargo.com/the-private-bank/insights/planning/wpu-qualified-opportunity-zones/" TargetMode="External"/><Relationship Id="rId2" Type="http://schemas.openxmlformats.org/officeDocument/2006/relationships/styles" Target="styles.xml"/><Relationship Id="rId16" Type="http://schemas.openxmlformats.org/officeDocument/2006/relationships/hyperlink" Target="https://www.irs.gov/credits-deductions/businesses/invest-in-a-qualified-opportunity-fun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atutes.capitol.texas.gov/Docs/FA/htm/FA.7.htm" TargetMode="External"/><Relationship Id="rId11" Type="http://schemas.openxmlformats.org/officeDocument/2006/relationships/hyperlink" Target="https://www.bdo.com/insights/tax/managing-2026-income-taxes-on-qualified-opportunity-zone-fund-investments" TargetMode="External"/><Relationship Id="rId5" Type="http://schemas.openxmlformats.org/officeDocument/2006/relationships/hyperlink" Target="https://statutes.capitol.texas.gov/Docs/FA/htm/FA.3.htm" TargetMode="External"/><Relationship Id="rId15" Type="http://schemas.openxmlformats.org/officeDocument/2006/relationships/hyperlink" Target="https://www.webbfamilylaw.com/Characterization_Tracing.pdf" TargetMode="External"/><Relationship Id="rId10" Type="http://schemas.openxmlformats.org/officeDocument/2006/relationships/hyperlink" Target="https://www.irs.gov/credits-deductions/opportunity-zones-frequently-asked-ques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w.cornell.edu/uscode/text/26/1041" TargetMode="External"/><Relationship Id="rId14" Type="http://schemas.openxmlformats.org/officeDocument/2006/relationships/hyperlink" Target="https://www.owlawyers.com/firm-news/2010/april/the-inception-of-title-rule-a-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4790</Words>
  <Characters>27305</Characters>
  <Application>Microsoft Office Word</Application>
  <DocSecurity>0</DocSecurity>
  <Lines>227</Lines>
  <Paragraphs>64</Paragraphs>
  <ScaleCrop>false</ScaleCrop>
  <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Graydon Trusler</cp:lastModifiedBy>
  <cp:revision>2</cp:revision>
  <dcterms:created xsi:type="dcterms:W3CDTF">2026-03-09T21:27:00Z</dcterms:created>
  <dcterms:modified xsi:type="dcterms:W3CDTF">2026-03-09T21:29:00Z</dcterms:modified>
</cp:coreProperties>
</file>