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1bbf3ebd6840d1da34aba03e4f4df9eede9753"/>
    <w:p>
      <w:pPr>
        <w:pStyle w:val="Heading1"/>
      </w:pPr>
      <w:r>
        <w:t xml:space="preserve">Norris Collaborative Team — Meeting 2 Agenda</w:t>
      </w:r>
    </w:p>
    <w:p>
      <w:pPr>
        <w:pStyle w:val="FirstParagraph"/>
      </w:pPr>
      <w:r>
        <w:rPr>
          <w:b/>
          <w:bCs/>
        </w:rPr>
        <w:t xml:space="preserve">In-Case Meeting:</w:t>
      </w:r>
      <w:r>
        <w:rPr>
          <w:b/>
          <w:bCs/>
        </w:rPr>
        <w:t xml:space="preserve"> </w:t>
      </w:r>
      <w:r>
        <w:rPr>
          <w:b/>
          <w:bCs/>
        </w:rPr>
        <w:t xml:space="preserve">“We Thought We Knew This Family”</w:t>
      </w:r>
      <w:r>
        <w:t xml:space="preserve"> </w:t>
      </w:r>
      <w:r>
        <w:rPr>
          <w:b/>
          <w:bCs/>
        </w:rPr>
        <w:t xml:space="preserve">CLE Session: Morning Block</w:t>
      </w:r>
    </w:p>
    <w:p>
      <w:r>
        <w:pict>
          <v:rect style="width:0;height:1.5pt" o:hralign="center" o:hrstd="t" o:hr="t"/>
        </w:pict>
      </w:r>
    </w:p>
    <w:bookmarkStart w:id="9" w:name="meeting-context"/>
    <w:p>
      <w:pPr>
        <w:pStyle w:val="Heading2"/>
      </w:pPr>
      <w:r>
        <w:t xml:space="preserve">Meeting Context</w:t>
      </w:r>
    </w:p>
    <w:p>
      <w:pPr>
        <w:pStyle w:val="FirstParagraph"/>
      </w:pPr>
      <w:r>
        <w:t xml:space="preserve">This is the team’s second full meeting. The initial procedural meeting (participation agreements, ground rules, intake, goal-setting) has been completed. Both clients have signed participation agreements. The MHP has set the room. Each client has met individually with their attorney and the financial neutral. The property division spreadsheet has been circulated.</w:t>
      </w:r>
    </w:p>
    <w:p>
      <w:pPr>
        <w:pStyle w:val="BodyText"/>
      </w:pPr>
      <w:r>
        <w:t xml:space="preserve">Today’s purpose:</w:t>
      </w:r>
      <w:r>
        <w:t xml:space="preserve"> </w:t>
      </w:r>
      <w:r>
        <w:rPr>
          <w:b/>
          <w:bCs/>
        </w:rPr>
        <w:t xml:space="preserve">Walk around the financial estate together</w:t>
      </w:r>
      <w:r>
        <w:t xml:space="preserve"> </w:t>
      </w:r>
      <w:r>
        <w:t xml:space="preserve">— review what we have, what we owe, what we earn, and what we need.</w:t>
      </w:r>
    </w:p>
    <w:p>
      <w:r>
        <w:pict>
          <v:rect style="width:0;height:1.5pt" o:hralign="center" o:hrstd="t" o:hr="t"/>
        </w:pict>
      </w:r>
    </w:p>
    <w:bookmarkEnd w:id="9"/>
    <w:bookmarkStart w:id="23" w:name="agenda"/>
    <w:p>
      <w:pPr>
        <w:pStyle w:val="Heading2"/>
      </w:pPr>
      <w:r>
        <w:t xml:space="preserve">Agenda</w:t>
      </w:r>
    </w:p>
    <w:bookmarkStart w:id="10" w:name="opening-check-in-mhp"/>
    <w:p>
      <w:pPr>
        <w:pStyle w:val="Heading3"/>
      </w:pPr>
      <w:r>
        <w:t xml:space="preserve">1. Opening &amp; Check-In (MHP)</w:t>
      </w:r>
    </w:p>
    <w:p>
      <w:pPr>
        <w:pStyle w:val="Compact"/>
        <w:numPr>
          <w:ilvl w:val="0"/>
          <w:numId w:val="1001"/>
        </w:numPr>
      </w:pPr>
      <w:r>
        <w:t xml:space="preserve">MHP welcomes both clients and the team</w:t>
      </w:r>
    </w:p>
    <w:p>
      <w:pPr>
        <w:pStyle w:val="Compact"/>
        <w:numPr>
          <w:ilvl w:val="0"/>
          <w:numId w:val="1001"/>
        </w:numPr>
      </w:pPr>
      <w:r>
        <w:t xml:space="preserve">Brief emotional check-in: How are Tommy and Angela feeling since the last meeting?</w:t>
      </w:r>
    </w:p>
    <w:p>
      <w:pPr>
        <w:pStyle w:val="Compact"/>
        <w:numPr>
          <w:ilvl w:val="0"/>
          <w:numId w:val="1001"/>
        </w:numPr>
      </w:pPr>
      <w:r>
        <w:t xml:space="preserve">Review today’s agenda and set expectations:</w:t>
      </w:r>
      <w:r>
        <w:t xml:space="preserve"> </w:t>
      </w:r>
      <w:r>
        <w:t xml:space="preserve">“This is a big-picture financial conversation — we’re building shared understanding, not making decisions yet”</w:t>
      </w:r>
    </w:p>
    <w:p>
      <w:pPr>
        <w:pStyle w:val="Compact"/>
        <w:numPr>
          <w:ilvl w:val="0"/>
          <w:numId w:val="1001"/>
        </w:numPr>
      </w:pPr>
      <w:r>
        <w:t xml:space="preserve">Remind the room of communication agreements</w:t>
      </w:r>
    </w:p>
    <w:p>
      <w:r>
        <w:pict>
          <v:rect style="width:0;height:1.5pt" o:hralign="center" o:hrstd="t" o:hr="t"/>
        </w:pict>
      </w:r>
    </w:p>
    <w:bookmarkEnd w:id="10"/>
    <w:bookmarkStart w:id="11" w:name="X1be9e7fb337953b40f8309ccc58a7d7bf457cea"/>
    <w:p>
      <w:pPr>
        <w:pStyle w:val="Heading3"/>
      </w:pPr>
      <w:r>
        <w:t xml:space="preserve">2. Household Income Overview (Financial Neutral)</w:t>
      </w:r>
    </w:p>
    <w:p>
      <w:pPr>
        <w:pStyle w:val="FirstParagraph"/>
      </w:pPr>
      <w:r>
        <w:t xml:space="preserve">Walk the clients through Tommy’s total compensation structure:</w:t>
      </w:r>
    </w:p>
    <w:tbl>
      <w:tblPr>
        <w:tblStyle w:val="Table"/>
        <w:tblW w:type="pct" w:w="5000"/>
        <w:tblLayout w:type="fixed"/>
        <w:tblLook w:firstRow="1" w:lastRow="0" w:firstColumn="0" w:lastColumn="0" w:noHBand="0" w:noVBand="0" w:val="0020"/>
      </w:tblPr>
      <w:tblGrid>
        <w:gridCol w:w="3350"/>
        <w:gridCol w:w="2436"/>
        <w:gridCol w:w="2132"/>
      </w:tblGrid>
      <w:tr>
        <w:trPr>
          <w:tblHeader w:val="on"/>
        </w:trPr>
        <w:tc>
          <w:tcPr/>
          <w:p>
            <w:pPr>
              <w:pStyle w:val="Compact"/>
            </w:pPr>
            <w:r>
              <w:t xml:space="preserve">Component</w:t>
            </w:r>
          </w:p>
        </w:tc>
        <w:tc>
          <w:tcPr/>
          <w:p>
            <w:pPr>
              <w:pStyle w:val="Compact"/>
            </w:pPr>
            <w:r>
              <w:t xml:space="preserve">Source</w:t>
            </w:r>
          </w:p>
        </w:tc>
        <w:tc>
          <w:tcPr/>
          <w:p>
            <w:pPr>
              <w:pStyle w:val="Compact"/>
            </w:pPr>
            <w:r>
              <w:t xml:space="preserve">Notes</w:t>
            </w:r>
          </w:p>
        </w:tc>
      </w:tr>
      <w:tr>
        <w:tc>
          <w:tcPr/>
          <w:p>
            <w:pPr>
              <w:pStyle w:val="Compact"/>
            </w:pPr>
            <w:r>
              <w:rPr>
                <w:b/>
                <w:bCs/>
              </w:rPr>
              <w:t xml:space="preserve">W-2 salary</w:t>
            </w:r>
          </w:p>
        </w:tc>
        <w:tc>
          <w:tcPr/>
          <w:p>
            <w:pPr>
              <w:pStyle w:val="Compact"/>
            </w:pPr>
            <w:r>
              <w:t xml:space="preserve">Current employer (private oil company)</w:t>
            </w:r>
          </w:p>
        </w:tc>
        <w:tc>
          <w:tcPr/>
          <w:p>
            <w:pPr>
              <w:pStyle w:val="Compact"/>
            </w:pPr>
            <w:r>
              <w:t xml:space="preserve">Base compensation</w:t>
            </w:r>
          </w:p>
        </w:tc>
      </w:tr>
      <w:tr>
        <w:tc>
          <w:tcPr/>
          <w:p>
            <w:pPr>
              <w:pStyle w:val="Compact"/>
            </w:pPr>
            <w:r>
              <w:rPr>
                <w:b/>
                <w:bCs/>
              </w:rPr>
              <w:t xml:space="preserve">Production bonuses</w:t>
            </w:r>
          </w:p>
        </w:tc>
        <w:tc>
          <w:tcPr/>
          <w:p>
            <w:pPr>
              <w:pStyle w:val="Compact"/>
            </w:pPr>
            <w:r>
              <w:t xml:space="preserve">Current employer</w:t>
            </w:r>
          </w:p>
        </w:tc>
        <w:tc>
          <w:tcPr/>
          <w:p>
            <w:pPr>
              <w:pStyle w:val="Compact"/>
            </w:pPr>
            <w:r>
              <w:t xml:space="preserve">Variable — tied to oil prices and well output</w:t>
            </w:r>
          </w:p>
        </w:tc>
      </w:tr>
      <w:tr>
        <w:tc>
          <w:tcPr/>
          <w:p>
            <w:pPr>
              <w:pStyle w:val="Compact"/>
            </w:pPr>
            <w:r>
              <w:rPr>
                <w:b/>
                <w:bCs/>
              </w:rPr>
              <w:t xml:space="preserve">Oil price sensitivity</w:t>
            </w:r>
          </w:p>
        </w:tc>
        <w:tc>
          <w:tcPr/>
          <w:p>
            <w:pPr>
              <w:pStyle w:val="Compact"/>
            </w:pPr>
            <w:r>
              <w:t xml:space="preserve">Market-dependent</w:t>
            </w:r>
          </w:p>
        </w:tc>
        <w:tc>
          <w:tcPr/>
          <w:p>
            <w:pPr>
              <w:pStyle w:val="Compact"/>
            </w:pPr>
            <w:r>
              <w:t xml:space="preserve">$60–70/barrel threshold; below that, bonuses disappear</w:t>
            </w:r>
          </w:p>
        </w:tc>
      </w:tr>
    </w:tbl>
    <w:p>
      <w:pPr>
        <w:pStyle w:val="BodyText"/>
      </w:pPr>
      <w:r>
        <w:rPr>
          <w:b/>
          <w:bCs/>
        </w:rPr>
        <w:t xml:space="preserve">Teaching moment:</w:t>
      </w:r>
      <w:r>
        <w:t xml:space="preserve"> </w:t>
      </w:r>
      <w:r>
        <w:t xml:space="preserve">How the financial neutral presents complex compensation to a financially unsophisticated spouse without overwhelming her or triggering Tommy’s defensiveness.</w:t>
      </w:r>
    </w:p>
    <w:p>
      <w:pPr>
        <w:pStyle w:val="BodyText"/>
      </w:pPr>
      <w:r>
        <w:rPr>
          <w:b/>
          <w:bCs/>
        </w:rPr>
        <w:t xml:space="preserve">What surfaces here:</w:t>
      </w:r>
      <w:r>
        <w:t xml:space="preserve"> </w:t>
      </w:r>
      <w:r>
        <w:t xml:space="preserve">- Angela has never seen Tommy’s compensation broken down this way</w:t>
      </w:r>
      <w:r>
        <w:t xml:space="preserve"> </w:t>
      </w:r>
      <w:r>
        <w:t xml:space="preserve">- The income looks big on paper but is highly variable</w:t>
      </w:r>
      <w:r>
        <w:t xml:space="preserve"> </w:t>
      </w:r>
      <w:r>
        <w:t xml:space="preserve">- Angela’s face:</w:t>
      </w:r>
      <w:r>
        <w:t xml:space="preserve"> </w:t>
      </w:r>
      <w:r>
        <w:t xml:space="preserve">“Wait — this isn’t guaranteed?”</w:t>
      </w:r>
    </w:p>
    <w:p>
      <w:r>
        <w:pict>
          <v:rect style="width:0;height:1.5pt" o:hralign="center" o:hrstd="t" o:hr="t"/>
        </w:pict>
      </w:r>
    </w:p>
    <w:bookmarkEnd w:id="11"/>
    <w:bookmarkStart w:id="18" w:name="Xdd0b4304c8d1e30877de6b05d32386404e089f4"/>
    <w:p>
      <w:pPr>
        <w:pStyle w:val="Heading3"/>
      </w:pPr>
      <w:r>
        <w:t xml:space="preserve">3. The Estate Walk-Around (Financial Neutral + Both Attorneys)</w:t>
      </w:r>
    </w:p>
    <w:p>
      <w:pPr>
        <w:pStyle w:val="FirstParagraph"/>
      </w:pPr>
      <w:r>
        <w:t xml:space="preserve">Systematic review of each major asset category. Financial neutral leads; attorneys clarify legal characterization as needed.</w:t>
      </w:r>
    </w:p>
    <w:bookmarkStart w:id="12" w:name="a.-the-house"/>
    <w:p>
      <w:pPr>
        <w:pStyle w:val="Heading4"/>
      </w:pPr>
      <w:r>
        <w:t xml:space="preserve">A. The House</w:t>
      </w:r>
    </w:p>
    <w:p>
      <w:pPr>
        <w:pStyle w:val="Compact"/>
        <w:numPr>
          <w:ilvl w:val="0"/>
          <w:numId w:val="1002"/>
        </w:numPr>
      </w:pPr>
      <w:r>
        <w:t xml:space="preserve">Current market value vs. mortgage balance</w:t>
      </w:r>
    </w:p>
    <w:p>
      <w:pPr>
        <w:pStyle w:val="Compact"/>
        <w:numPr>
          <w:ilvl w:val="0"/>
          <w:numId w:val="1002"/>
        </w:numPr>
      </w:pPr>
      <w:r>
        <w:rPr>
          <w:b/>
          <w:bCs/>
        </w:rPr>
        <w:t xml:space="preserve">The reveal:</w:t>
      </w:r>
      <w:r>
        <w:t xml:space="preserve"> </w:t>
      </w:r>
      <w:r>
        <w:t xml:space="preserve">The house is underwater. The family would need to bring cash to close.</w:t>
      </w:r>
    </w:p>
    <w:p>
      <w:pPr>
        <w:pStyle w:val="Compact"/>
        <w:numPr>
          <w:ilvl w:val="0"/>
          <w:numId w:val="1002"/>
        </w:numPr>
      </w:pPr>
      <w:r>
        <w:t xml:space="preserve">No cash available to bring</w:t>
      </w:r>
    </w:p>
    <w:p>
      <w:pPr>
        <w:pStyle w:val="Compact"/>
        <w:numPr>
          <w:ilvl w:val="0"/>
          <w:numId w:val="1002"/>
        </w:numPr>
      </w:pPr>
      <w:r>
        <w:t xml:space="preserve">Discussion: What does this mean for the divorce? Does someone stay? Does the family short-sell?</w:t>
      </w:r>
    </w:p>
    <w:bookmarkEnd w:id="12"/>
    <w:bookmarkStart w:id="13" w:name="b.-retirement-pension"/>
    <w:p>
      <w:pPr>
        <w:pStyle w:val="Heading4"/>
      </w:pPr>
      <w:r>
        <w:t xml:space="preserve">B. Retirement &amp; Pension</w:t>
      </w:r>
    </w:p>
    <w:tbl>
      <w:tblPr>
        <w:tblStyle w:val="Table"/>
        <w:tblW w:type="pct" w:w="5000"/>
        <w:tblLayout w:type="fixed"/>
        <w:tblLook w:firstRow="1" w:lastRow="0" w:firstColumn="0" w:lastColumn="0" w:noHBand="0" w:noVBand="0" w:val="0020"/>
      </w:tblPr>
      <w:tblGrid>
        <w:gridCol w:w="1458"/>
        <w:gridCol w:w="1875"/>
        <w:gridCol w:w="4585"/>
      </w:tblGrid>
      <w:tr>
        <w:trPr>
          <w:tblHeader w:val="on"/>
        </w:trPr>
        <w:tc>
          <w:tcPr/>
          <w:p>
            <w:pPr>
              <w:pStyle w:val="Compact"/>
            </w:pPr>
            <w:r>
              <w:t xml:space="preserve">Asset</w:t>
            </w:r>
          </w:p>
        </w:tc>
        <w:tc>
          <w:tcPr/>
          <w:p>
            <w:pPr>
              <w:pStyle w:val="Compact"/>
            </w:pPr>
            <w:r>
              <w:t xml:space="preserve">Details</w:t>
            </w:r>
          </w:p>
        </w:tc>
        <w:tc>
          <w:tcPr/>
          <w:p>
            <w:pPr>
              <w:pStyle w:val="Compact"/>
            </w:pPr>
            <w:r>
              <w:t xml:space="preserve">Characterization Issue</w:t>
            </w:r>
          </w:p>
        </w:tc>
      </w:tr>
      <w:tr>
        <w:tc>
          <w:tcPr/>
          <w:p>
            <w:pPr>
              <w:pStyle w:val="Compact"/>
            </w:pPr>
            <w:r>
              <w:rPr>
                <w:b/>
                <w:bCs/>
              </w:rPr>
              <w:t xml:space="preserve">ExxonMobil defined benefit pension</w:t>
            </w:r>
          </w:p>
        </w:tc>
        <w:tc>
          <w:tcPr/>
          <w:p>
            <w:pPr>
              <w:pStyle w:val="Compact"/>
            </w:pPr>
            <w:r>
              <w:t xml:space="preserve">Tommy worked at Exxon before the marriage; pension has premarital contributions</w:t>
            </w:r>
          </w:p>
        </w:tc>
        <w:tc>
          <w:tcPr/>
          <w:p>
            <w:pPr>
              <w:pStyle w:val="Compact"/>
            </w:pPr>
            <w:r>
              <w:t xml:space="preserve">Coverture fracture — not all community property</w:t>
            </w:r>
          </w:p>
        </w:tc>
      </w:tr>
      <w:tr>
        <w:tc>
          <w:tcPr/>
          <w:p>
            <w:pPr>
              <w:pStyle w:val="Compact"/>
            </w:pPr>
            <w:r>
              <w:rPr>
                <w:b/>
                <w:bCs/>
              </w:rPr>
              <w:t xml:space="preserve">RSUs (Exxon, lingering)</w:t>
            </w:r>
          </w:p>
        </w:tc>
        <w:tc>
          <w:tcPr/>
          <w:p>
            <w:pPr>
              <w:pStyle w:val="Compact"/>
            </w:pPr>
            <w:r>
              <w:t xml:space="preserve">Vested restricted stock units from prior employer</w:t>
            </w:r>
          </w:p>
        </w:tc>
        <w:tc>
          <w:tcPr/>
          <w:p>
            <w:pPr>
              <w:pStyle w:val="Compact"/>
            </w:pPr>
            <w:r>
              <w:t xml:space="preserve">Vesting schedule vs. marriage timeline</w:t>
            </w:r>
          </w:p>
        </w:tc>
      </w:tr>
    </w:tbl>
    <w:p>
      <w:pPr>
        <w:pStyle w:val="BodyText"/>
      </w:pPr>
      <w:r>
        <w:rPr>
          <w:b/>
          <w:bCs/>
        </w:rPr>
        <w:t xml:space="preserve">Teaching moment:</w:t>
      </w:r>
      <w:r>
        <w:t xml:space="preserve"> </w:t>
      </w:r>
      <w:r>
        <w:t xml:space="preserve">Angela believes the trust means everything is 50/50. The financial neutral begins explaining separate vs. community characterization within the trust. Angela’s understanding of</w:t>
      </w:r>
      <w:r>
        <w:t xml:space="preserve"> </w:t>
      </w:r>
      <w:r>
        <w:t xml:space="preserve">“what’s mine”</w:t>
      </w:r>
      <w:r>
        <w:t xml:space="preserve"> </w:t>
      </w:r>
      <w:r>
        <w:t xml:space="preserve">starts to shift.</w:t>
      </w:r>
    </w:p>
    <w:p>
      <w:pPr>
        <w:pStyle w:val="BodyText"/>
      </w:pPr>
      <w:r>
        <w:rPr>
          <w:b/>
          <w:bCs/>
        </w:rPr>
        <w:t xml:space="preserve">What the team watches for:</w:t>
      </w:r>
      <w:r>
        <w:t xml:space="preserve"> </w:t>
      </w:r>
      <w:r>
        <w:t xml:space="preserve">Angela’s emotional reaction. The MHP may need to pause the financial discussion for processing time.</w:t>
      </w:r>
    </w:p>
    <w:bookmarkEnd w:id="13"/>
    <w:bookmarkStart w:id="14" w:name="c.-the-trust"/>
    <w:p>
      <w:pPr>
        <w:pStyle w:val="Heading4"/>
      </w:pPr>
      <w:r>
        <w:t xml:space="preserve">C. The Trust</w:t>
      </w:r>
    </w:p>
    <w:p>
      <w:pPr>
        <w:pStyle w:val="Compact"/>
        <w:numPr>
          <w:ilvl w:val="0"/>
          <w:numId w:val="1003"/>
        </w:numPr>
      </w:pPr>
      <w:r>
        <w:t xml:space="preserve">The family trust exists — but it doesn’t mean what Angela thinks it means</w:t>
      </w:r>
    </w:p>
    <w:p>
      <w:pPr>
        <w:pStyle w:val="Compact"/>
        <w:numPr>
          <w:ilvl w:val="0"/>
          <w:numId w:val="1003"/>
        </w:numPr>
      </w:pPr>
      <w:r>
        <w:t xml:space="preserve">Separate property can exist inside a trust</w:t>
      </w:r>
    </w:p>
    <w:p>
      <w:pPr>
        <w:pStyle w:val="Compact"/>
        <w:numPr>
          <w:ilvl w:val="0"/>
          <w:numId w:val="1003"/>
        </w:numPr>
      </w:pPr>
      <w:r>
        <w:t xml:space="preserve">Community property claims require tracing</w:t>
      </w:r>
    </w:p>
    <w:p>
      <w:pPr>
        <w:pStyle w:val="Compact"/>
        <w:numPr>
          <w:ilvl w:val="0"/>
          <w:numId w:val="1003"/>
        </w:numPr>
      </w:pPr>
      <w:r>
        <w:t xml:space="preserve">This is the moment Angela’s face changes</w:t>
      </w:r>
    </w:p>
    <w:bookmarkEnd w:id="14"/>
    <w:bookmarkStart w:id="15" w:name="d.-retirement-savings-beyond-pension"/>
    <w:p>
      <w:pPr>
        <w:pStyle w:val="Heading4"/>
      </w:pPr>
      <w:r>
        <w:t xml:space="preserve">D. Retirement Savings (Beyond Pension)</w:t>
      </w:r>
    </w:p>
    <w:p>
      <w:pPr>
        <w:pStyle w:val="Compact"/>
        <w:numPr>
          <w:ilvl w:val="0"/>
          <w:numId w:val="1004"/>
        </w:numPr>
      </w:pPr>
      <w:r>
        <w:t xml:space="preserve">Prior bankruptcy wiped out most retirement savings</w:t>
      </w:r>
    </w:p>
    <w:p>
      <w:pPr>
        <w:pStyle w:val="Compact"/>
        <w:numPr>
          <w:ilvl w:val="0"/>
          <w:numId w:val="1004"/>
        </w:numPr>
      </w:pPr>
      <w:r>
        <w:t xml:space="preserve">Current retirement contributions are minimal</w:t>
      </w:r>
    </w:p>
    <w:p>
      <w:pPr>
        <w:pStyle w:val="Compact"/>
        <w:numPr>
          <w:ilvl w:val="0"/>
          <w:numId w:val="1004"/>
        </w:numPr>
      </w:pPr>
      <w:r>
        <w:t xml:space="preserve">Both clients are in their late 40s/50s with nearly nothing saved outside the pension</w:t>
      </w:r>
    </w:p>
    <w:p>
      <w:pPr>
        <w:pStyle w:val="Compact"/>
        <w:numPr>
          <w:ilvl w:val="0"/>
          <w:numId w:val="1004"/>
        </w:numPr>
      </w:pPr>
      <w:r>
        <w:t xml:space="preserve">The financial neutral quantifies the gap between where they are and where they need to be</w:t>
      </w:r>
    </w:p>
    <w:bookmarkEnd w:id="15"/>
    <w:bookmarkStart w:id="16" w:name="e.-vehicles"/>
    <w:p>
      <w:pPr>
        <w:pStyle w:val="Heading4"/>
      </w:pPr>
      <w:r>
        <w:t xml:space="preserve">E. Vehicles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Vehicle</w:t>
            </w:r>
          </w:p>
        </w:tc>
        <w:tc>
          <w:tcPr/>
          <w:p>
            <w:pPr>
              <w:pStyle w:val="Compact"/>
            </w:pPr>
            <w:r>
              <w:t xml:space="preserve">Owner</w:t>
            </w:r>
          </w:p>
        </w:tc>
        <w:tc>
          <w:tcPr/>
          <w:p>
            <w:pPr>
              <w:pStyle w:val="Compact"/>
            </w:pPr>
            <w:r>
              <w:t xml:space="preserve">Status</w:t>
            </w:r>
          </w:p>
        </w:tc>
      </w:tr>
      <w:tr>
        <w:tc>
          <w:tcPr/>
          <w:p>
            <w:pPr>
              <w:pStyle w:val="Compact"/>
            </w:pPr>
            <w:r>
              <w:t xml:space="preserve">Mercedes</w:t>
            </w:r>
          </w:p>
        </w:tc>
        <w:tc>
          <w:tcPr/>
          <w:p>
            <w:pPr>
              <w:pStyle w:val="Compact"/>
            </w:pPr>
            <w:r>
              <w:t xml:space="preserve">Angela</w:t>
            </w:r>
          </w:p>
        </w:tc>
        <w:tc>
          <w:tcPr/>
          <w:p>
            <w:pPr>
              <w:pStyle w:val="Compact"/>
            </w:pPr>
            <w:r>
              <w:t xml:space="preserve">Leased</w:t>
            </w:r>
          </w:p>
        </w:tc>
      </w:tr>
      <w:tr>
        <w:tc>
          <w:tcPr/>
          <w:p>
            <w:pPr>
              <w:pStyle w:val="Compact"/>
            </w:pPr>
            <w:r>
              <w:t xml:space="preserve">Truck</w:t>
            </w:r>
          </w:p>
        </w:tc>
        <w:tc>
          <w:tcPr/>
          <w:p>
            <w:pPr>
              <w:pStyle w:val="Compact"/>
            </w:pPr>
            <w:r>
              <w:t xml:space="preserve">Tommy</w:t>
            </w:r>
          </w:p>
        </w:tc>
        <w:tc>
          <w:tcPr/>
          <w:p>
            <w:pPr>
              <w:pStyle w:val="Compact"/>
            </w:pPr>
            <w:r>
              <w:t xml:space="preserve">Owned</w:t>
            </w:r>
          </w:p>
        </w:tc>
      </w:tr>
      <w:tr>
        <w:tc>
          <w:tcPr/>
          <w:p>
            <w:pPr>
              <w:pStyle w:val="Compact"/>
            </w:pPr>
            <w:r>
              <w:t xml:space="preserve">Ainsley’s car</w:t>
            </w:r>
          </w:p>
        </w:tc>
        <w:tc>
          <w:tcPr/>
          <w:p>
            <w:pPr>
              <w:pStyle w:val="Compact"/>
            </w:pPr>
            <w:r>
              <w:t xml:space="preserve">Family</w:t>
            </w:r>
          </w:p>
        </w:tc>
        <w:tc>
          <w:tcPr/>
          <w:p>
            <w:pPr>
              <w:pStyle w:val="Compact"/>
            </w:pPr>
            <w:r>
              <w:t xml:space="preserve">Family-funded</w:t>
            </w:r>
          </w:p>
        </w:tc>
      </w:tr>
      <w:tr>
        <w:tc>
          <w:tcPr/>
          <w:p>
            <w:pPr>
              <w:pStyle w:val="Compact"/>
            </w:pPr>
            <w:r>
              <w:t xml:space="preserve">Cooper’s car</w:t>
            </w:r>
          </w:p>
        </w:tc>
        <w:tc>
          <w:tcPr/>
          <w:p>
            <w:pPr>
              <w:pStyle w:val="Compact"/>
            </w:pPr>
            <w:r>
              <w:t xml:space="preserve">Family</w:t>
            </w:r>
          </w:p>
        </w:tc>
        <w:tc>
          <w:tcPr/>
          <w:p>
            <w:pPr>
              <w:pStyle w:val="Compact"/>
            </w:pPr>
            <w:r>
              <w:t xml:space="preserve">Family-funded</w:t>
            </w:r>
          </w:p>
        </w:tc>
      </w:tr>
    </w:tbl>
    <w:p>
      <w:pPr>
        <w:pStyle w:val="Compact"/>
        <w:numPr>
          <w:ilvl w:val="0"/>
          <w:numId w:val="1005"/>
        </w:numPr>
      </w:pPr>
      <w:r>
        <w:t xml:space="preserve">None of this was budgeted — it</w:t>
      </w:r>
      <w:r>
        <w:t xml:space="preserve"> </w:t>
      </w:r>
      <w:r>
        <w:t xml:space="preserve">“just happened”</w:t>
      </w:r>
    </w:p>
    <w:p>
      <w:pPr>
        <w:pStyle w:val="Compact"/>
        <w:numPr>
          <w:ilvl w:val="0"/>
          <w:numId w:val="1005"/>
        </w:numPr>
      </w:pPr>
      <w:r>
        <w:t xml:space="preserve">Monthly vehicle costs are a significant cash drain</w:t>
      </w:r>
    </w:p>
    <w:bookmarkEnd w:id="16"/>
    <w:bookmarkStart w:id="17" w:name="f.-debt-overview"/>
    <w:p>
      <w:pPr>
        <w:pStyle w:val="Heading4"/>
      </w:pPr>
      <w:r>
        <w:t xml:space="preserve">F. Debt Overview</w:t>
      </w:r>
    </w:p>
    <w:p>
      <w:pPr>
        <w:pStyle w:val="Compact"/>
        <w:numPr>
          <w:ilvl w:val="0"/>
          <w:numId w:val="1006"/>
        </w:numPr>
      </w:pPr>
      <w:r>
        <w:t xml:space="preserve">Known credit card balances (as disclosed)</w:t>
      </w:r>
    </w:p>
    <w:p>
      <w:pPr>
        <w:pStyle w:val="Compact"/>
        <w:numPr>
          <w:ilvl w:val="0"/>
          <w:numId w:val="1006"/>
        </w:numPr>
      </w:pPr>
      <w:r>
        <w:t xml:space="preserve">Possible IRS repayment plan — Tommy is evasive when asked</w:t>
      </w:r>
    </w:p>
    <w:p>
      <w:pPr>
        <w:pStyle w:val="Compact"/>
        <w:numPr>
          <w:ilvl w:val="0"/>
          <w:numId w:val="1006"/>
        </w:numPr>
      </w:pPr>
      <w:r>
        <w:t xml:space="preserve">Back taxes hinted at but not confirmed</w:t>
      </w:r>
    </w:p>
    <w:p>
      <w:pPr>
        <w:pStyle w:val="FirstParagraph"/>
      </w:pPr>
      <w:r>
        <w:rPr>
          <w:b/>
          <w:bCs/>
        </w:rPr>
        <w:t xml:space="preserve">What the team doesn’t know yet</w:t>
      </w:r>
      <w:r>
        <w:t xml:space="preserve"> </w:t>
      </w:r>
      <w:r>
        <w:t xml:space="preserve">(and won’t learn until Meeting 3):</w:t>
      </w:r>
      <w:r>
        <w:t xml:space="preserve"> </w:t>
      </w:r>
      <w:r>
        <w:t xml:space="preserve">- The full credit card shell game</w:t>
      </w:r>
      <w:r>
        <w:t xml:space="preserve"> </w:t>
      </w:r>
      <w:r>
        <w:t xml:space="preserve">- Robotic Roughneck LLC</w:t>
      </w:r>
      <w:r>
        <w:t xml:space="preserve"> </w:t>
      </w:r>
      <w:r>
        <w:t xml:space="preserve">- The gold</w:t>
      </w:r>
      <w:r>
        <w:t xml:space="preserve"> </w:t>
      </w:r>
      <w:r>
        <w:t xml:space="preserve">- The drained college fund</w:t>
      </w:r>
    </w:p>
    <w:p>
      <w:r>
        <w:pict>
          <v:rect style="width:0;height:1.5pt" o:hralign="center" o:hrstd="t" o:hr="t"/>
        </w:pict>
      </w:r>
    </w:p>
    <w:bookmarkEnd w:id="17"/>
    <w:bookmarkEnd w:id="18"/>
    <w:bookmarkStart w:id="19" w:name="X0bfda4a4a10a03c953438ee6158ca6796449f76"/>
    <w:p>
      <w:pPr>
        <w:pStyle w:val="Heading3"/>
      </w:pPr>
      <w:r>
        <w:t xml:space="preserve">4. Monthly Cash Flow Reality Check (Financial Neutral)</w:t>
      </w:r>
    </w:p>
    <w:p>
      <w:pPr>
        <w:pStyle w:val="Compact"/>
        <w:numPr>
          <w:ilvl w:val="0"/>
          <w:numId w:val="1007"/>
        </w:numPr>
      </w:pPr>
      <w:r>
        <w:t xml:space="preserve">What does this family actually spend per month?</w:t>
      </w:r>
    </w:p>
    <w:p>
      <w:pPr>
        <w:pStyle w:val="Compact"/>
        <w:numPr>
          <w:ilvl w:val="0"/>
          <w:numId w:val="1007"/>
        </w:numPr>
      </w:pPr>
      <w:r>
        <w:t xml:space="preserve">Income vs. outflow — the gap</w:t>
      </w:r>
    </w:p>
    <w:p>
      <w:pPr>
        <w:pStyle w:val="Compact"/>
        <w:numPr>
          <w:ilvl w:val="0"/>
          <w:numId w:val="1007"/>
        </w:numPr>
      </w:pPr>
      <w:r>
        <w:t xml:space="preserve">Angela’s spending categories surface for the first time in front of Tommy:</w:t>
      </w:r>
    </w:p>
    <w:p>
      <w:pPr>
        <w:pStyle w:val="Compact"/>
        <w:numPr>
          <w:ilvl w:val="1"/>
          <w:numId w:val="1008"/>
        </w:numPr>
      </w:pPr>
      <w:r>
        <w:t xml:space="preserve">Junior League dues</w:t>
      </w:r>
    </w:p>
    <w:p>
      <w:pPr>
        <w:pStyle w:val="Compact"/>
        <w:numPr>
          <w:ilvl w:val="1"/>
          <w:numId w:val="1008"/>
        </w:numPr>
      </w:pPr>
      <w:r>
        <w:t xml:space="preserve">Cattle Barons Ball table</w:t>
      </w:r>
    </w:p>
    <w:p>
      <w:pPr>
        <w:pStyle w:val="Compact"/>
        <w:numPr>
          <w:ilvl w:val="1"/>
          <w:numId w:val="1008"/>
        </w:numPr>
      </w:pPr>
      <w:r>
        <w:t xml:space="preserve">Cheer and volleyball costs</w:t>
      </w:r>
    </w:p>
    <w:p>
      <w:pPr>
        <w:pStyle w:val="Compact"/>
        <w:numPr>
          <w:ilvl w:val="1"/>
          <w:numId w:val="1008"/>
        </w:numPr>
      </w:pPr>
      <w:r>
        <w:t xml:space="preserve">Waldemar summer camp ($7,500)</w:t>
      </w:r>
    </w:p>
    <w:p>
      <w:pPr>
        <w:pStyle w:val="Compact"/>
        <w:numPr>
          <w:ilvl w:val="1"/>
          <w:numId w:val="1008"/>
        </w:numPr>
      </w:pPr>
      <w:r>
        <w:t xml:space="preserve">Social obligations Angela considers essential (</w:t>
      </w:r>
      <w:r>
        <w:t xml:space="preserve">“In Midland, your standing</w:t>
      </w:r>
      <w:r>
        <w:t xml:space="preserve"> </w:t>
      </w:r>
      <w:r>
        <w:rPr>
          <w:i/>
          <w:iCs/>
        </w:rPr>
        <w:t xml:space="preserve">is</w:t>
      </w:r>
      <w:r>
        <w:t xml:space="preserve"> </w:t>
      </w:r>
      <w:r>
        <w:t xml:space="preserve">your career”</w:t>
      </w:r>
      <w:r>
        <w:t xml:space="preserve">)</w:t>
      </w:r>
    </w:p>
    <w:p>
      <w:pPr>
        <w:pStyle w:val="Compact"/>
        <w:numPr>
          <w:ilvl w:val="0"/>
          <w:numId w:val="1007"/>
        </w:numPr>
      </w:pPr>
      <w:r>
        <w:t xml:space="preserve">Tommy’s reaction to seeing the aggregate number</w:t>
      </w:r>
    </w:p>
    <w:p>
      <w:pPr>
        <w:pStyle w:val="FirstParagraph"/>
      </w:pPr>
      <w:r>
        <w:rPr>
          <w:b/>
          <w:bCs/>
        </w:rPr>
        <w:t xml:space="preserve">Teaching moment:</w:t>
      </w:r>
      <w:r>
        <w:t xml:space="preserve"> </w:t>
      </w:r>
      <w:r>
        <w:t xml:space="preserve">How the financial neutral presents spending data without judgment — and how the MHP manages the room when one client feels attacked and the other feels vindicated.</w:t>
      </w:r>
    </w:p>
    <w:p>
      <w:r>
        <w:pict>
          <v:rect style="width:0;height:1.5pt" o:hralign="center" o:hrstd="t" o:hr="t"/>
        </w:pict>
      </w:r>
    </w:p>
    <w:bookmarkEnd w:id="19"/>
    <w:bookmarkStart w:id="20" w:name="X85d372adf600ffd0e2fffcfadeaf5793f982122"/>
    <w:p>
      <w:pPr>
        <w:pStyle w:val="Heading3"/>
      </w:pPr>
      <w:r>
        <w:t xml:space="preserve">5. Two-Household Budget Reality (Financial Neutral)</w:t>
      </w:r>
    </w:p>
    <w:p>
      <w:pPr>
        <w:pStyle w:val="Compact"/>
        <w:numPr>
          <w:ilvl w:val="0"/>
          <w:numId w:val="1009"/>
        </w:numPr>
      </w:pPr>
      <w:r>
        <w:t xml:space="preserve">The family currently operates one household on ~$50K/month</w:t>
      </w:r>
    </w:p>
    <w:p>
      <w:pPr>
        <w:pStyle w:val="Compact"/>
        <w:numPr>
          <w:ilvl w:val="0"/>
          <w:numId w:val="1009"/>
        </w:numPr>
      </w:pPr>
      <w:r>
        <w:t xml:space="preserve">Post-divorce, they need to fund</w:t>
      </w:r>
      <w:r>
        <w:t xml:space="preserve"> </w:t>
      </w:r>
      <w:r>
        <w:rPr>
          <w:i/>
          <w:iCs/>
        </w:rPr>
        <w:t xml:space="preserve">two</w:t>
      </w:r>
      <w:r>
        <w:t xml:space="preserve"> </w:t>
      </w:r>
      <w:r>
        <w:t xml:space="preserve">households on the same income</w:t>
      </w:r>
    </w:p>
    <w:p>
      <w:pPr>
        <w:pStyle w:val="Compact"/>
        <w:numPr>
          <w:ilvl w:val="0"/>
          <w:numId w:val="1009"/>
        </w:numPr>
      </w:pPr>
      <w:r>
        <w:t xml:space="preserve">The math doesn’t work without changes</w:t>
      </w:r>
    </w:p>
    <w:p>
      <w:pPr>
        <w:pStyle w:val="Compact"/>
        <w:numPr>
          <w:ilvl w:val="0"/>
          <w:numId w:val="1009"/>
        </w:numPr>
      </w:pPr>
      <w:r>
        <w:t xml:space="preserve">Neither client is ready to hear this yet — but the financial neutral plants the seed</w:t>
      </w:r>
    </w:p>
    <w:p>
      <w:r>
        <w:pict>
          <v:rect style="width:0;height:1.5pt" o:hralign="center" o:hrstd="t" o:hr="t"/>
        </w:pict>
      </w:r>
    </w:p>
    <w:bookmarkEnd w:id="20"/>
    <w:bookmarkStart w:id="21" w:name="X625015d6f1ea9e73b4ce9ff6b2b8c144b45b818"/>
    <w:p>
      <w:pPr>
        <w:pStyle w:val="Heading3"/>
      </w:pPr>
      <w:r>
        <w:t xml:space="preserve">6. Preliminary Questions &amp; Concerns (Both Attorneys + MHP)</w:t>
      </w:r>
    </w:p>
    <w:p>
      <w:pPr>
        <w:pStyle w:val="Compact"/>
        <w:numPr>
          <w:ilvl w:val="0"/>
          <w:numId w:val="1010"/>
        </w:numPr>
      </w:pPr>
      <w:r>
        <w:t xml:space="preserve">Open the floor for each client to ask questions or express concerns</w:t>
      </w:r>
    </w:p>
    <w:p>
      <w:pPr>
        <w:pStyle w:val="Compact"/>
        <w:numPr>
          <w:ilvl w:val="0"/>
          <w:numId w:val="1010"/>
        </w:numPr>
      </w:pPr>
      <w:r>
        <w:t xml:space="preserve">Tommy’s attorney may gently probe on whether all assets have been disclosed (foreshadowing)</w:t>
      </w:r>
    </w:p>
    <w:p>
      <w:pPr>
        <w:pStyle w:val="Compact"/>
        <w:numPr>
          <w:ilvl w:val="0"/>
          <w:numId w:val="1010"/>
        </w:numPr>
      </w:pPr>
      <w:r>
        <w:t xml:space="preserve">Angela may express confusion or frustration about the separate property issue</w:t>
      </w:r>
    </w:p>
    <w:p>
      <w:pPr>
        <w:pStyle w:val="Compact"/>
        <w:numPr>
          <w:ilvl w:val="0"/>
          <w:numId w:val="1010"/>
        </w:numPr>
      </w:pPr>
      <w:r>
        <w:t xml:space="preserve">MHP manages emotional temperature</w:t>
      </w:r>
    </w:p>
    <w:p>
      <w:r>
        <w:pict>
          <v:rect style="width:0;height:1.5pt" o:hralign="center" o:hrstd="t" o:hr="t"/>
        </w:pict>
      </w:r>
    </w:p>
    <w:bookmarkEnd w:id="21"/>
    <w:bookmarkStart w:id="22" w:name="X47025fb7b0ff2fe33d7b671d2b58c79bb28bc94"/>
    <w:p>
      <w:pPr>
        <w:pStyle w:val="Heading3"/>
      </w:pPr>
      <w:r>
        <w:t xml:space="preserve">7. Next Steps &amp; Assignments (MHP + Financial Neutral)</w:t>
      </w:r>
    </w:p>
    <w:p>
      <w:pPr>
        <w:pStyle w:val="Compact"/>
        <w:numPr>
          <w:ilvl w:val="0"/>
          <w:numId w:val="1011"/>
        </w:numPr>
      </w:pPr>
      <w:r>
        <w:t xml:space="preserve">Financial neutral identifies what additional documents are needed</w:t>
      </w:r>
    </w:p>
    <w:p>
      <w:pPr>
        <w:pStyle w:val="Compact"/>
        <w:numPr>
          <w:ilvl w:val="0"/>
          <w:numId w:val="1011"/>
        </w:numPr>
      </w:pPr>
      <w:r>
        <w:t xml:space="preserve">Appraisals to order (house, pension)</w:t>
      </w:r>
    </w:p>
    <w:p>
      <w:pPr>
        <w:pStyle w:val="Compact"/>
        <w:numPr>
          <w:ilvl w:val="0"/>
          <w:numId w:val="1011"/>
        </w:numPr>
      </w:pPr>
      <w:r>
        <w:t xml:space="preserve">Both clients asked to complete detailed monthly budget worksheets</w:t>
      </w:r>
    </w:p>
    <w:p>
      <w:pPr>
        <w:pStyle w:val="Compact"/>
        <w:numPr>
          <w:ilvl w:val="0"/>
          <w:numId w:val="1011"/>
        </w:numPr>
      </w:pPr>
      <w:r>
        <w:t xml:space="preserve">Team identifies follow-up meeting focus: parenting plan and children’s needs</w:t>
      </w:r>
    </w:p>
    <w:p>
      <w:pPr>
        <w:pStyle w:val="Compact"/>
        <w:numPr>
          <w:ilvl w:val="0"/>
          <w:numId w:val="1011"/>
        </w:numPr>
      </w:pPr>
      <w:r>
        <w:t xml:space="preserve">MHP checks in:</w:t>
      </w:r>
      <w:r>
        <w:t xml:space="preserve"> </w:t>
      </w:r>
      <w:r>
        <w:t xml:space="preserve">“How did today feel? What do you need before next time?”</w:t>
      </w:r>
    </w:p>
    <w:p>
      <w:r>
        <w:pict>
          <v:rect style="width:0;height:1.5pt" o:hralign="center" o:hrstd="t" o:hr="t"/>
        </w:pict>
      </w:r>
    </w:p>
    <w:bookmarkEnd w:id="22"/>
    <w:bookmarkEnd w:id="23"/>
    <w:bookmarkStart w:id="24" w:name="cle-learning-objectives-served"/>
    <w:p>
      <w:pPr>
        <w:pStyle w:val="Heading2"/>
      </w:pPr>
      <w:r>
        <w:t xml:space="preserve">CLE Learning Objectives Served</w:t>
      </w:r>
    </w:p>
    <w:tbl>
      <w:tblPr>
        <w:tblStyle w:val="Table"/>
        <w:tblW w:type="pct" w:w="5000"/>
        <w:tblLayout w:type="fixed"/>
        <w:tblLook w:firstRow="1" w:lastRow="0" w:firstColumn="0" w:lastColumn="0" w:noHBand="0" w:noVBand="0" w:val="0020"/>
      </w:tblPr>
      <w:tblGrid>
        <w:gridCol w:w="792"/>
        <w:gridCol w:w="2904"/>
        <w:gridCol w:w="4224"/>
      </w:tblGrid>
      <w:tr>
        <w:trPr>
          <w:tblHeader w:val="on"/>
        </w:trPr>
        <w:tc>
          <w:tcPr/>
          <w:p>
            <w:pPr>
              <w:pStyle w:val="Compact"/>
            </w:pPr>
            <w:r>
              <w:t xml:space="preserve">#</w:t>
            </w:r>
          </w:p>
        </w:tc>
        <w:tc>
          <w:tcPr/>
          <w:p>
            <w:pPr>
              <w:pStyle w:val="Compact"/>
            </w:pPr>
            <w:r>
              <w:t xml:space="preserve">Objective</w:t>
            </w:r>
          </w:p>
        </w:tc>
        <w:tc>
          <w:tcPr/>
          <w:p>
            <w:pPr>
              <w:pStyle w:val="Compact"/>
            </w:pPr>
            <w:r>
              <w:t xml:space="preserve">How It Appears</w:t>
            </w:r>
          </w:p>
        </w:tc>
      </w:tr>
      <w:tr>
        <w:tc>
          <w:tcPr/>
          <w:p>
            <w:pPr>
              <w:pStyle w:val="Compact"/>
            </w:pPr>
            <w:r>
              <w:t xml:space="preserve">3</w:t>
            </w:r>
          </w:p>
        </w:tc>
        <w:tc>
          <w:tcPr/>
          <w:p>
            <w:pPr>
              <w:pStyle w:val="Compact"/>
            </w:pPr>
            <w:r>
              <w:t xml:space="preserve">Advanced financial issues</w:t>
            </w:r>
          </w:p>
        </w:tc>
        <w:tc>
          <w:tcPr/>
          <w:p>
            <w:pPr>
              <w:pStyle w:val="Compact"/>
            </w:pPr>
            <w:r>
              <w:t xml:space="preserve">Pension coverture, RSUs, trust characterization, underwater house, variable compensation</w:t>
            </w:r>
          </w:p>
        </w:tc>
      </w:tr>
      <w:tr>
        <w:tc>
          <w:tcPr/>
          <w:p>
            <w:pPr>
              <w:pStyle w:val="Compact"/>
            </w:pPr>
            <w:r>
              <w:t xml:space="preserve">6</w:t>
            </w:r>
          </w:p>
        </w:tc>
        <w:tc>
          <w:tcPr/>
          <w:p>
            <w:pPr>
              <w:pStyle w:val="Compact"/>
            </w:pPr>
            <w:r>
              <w:t xml:space="preserve">MHP as business manager</w:t>
            </w:r>
          </w:p>
        </w:tc>
        <w:tc>
          <w:tcPr/>
          <w:p>
            <w:pPr>
              <w:pStyle w:val="Compact"/>
            </w:pPr>
            <w:r>
              <w:t xml:space="preserve">MHP sets room, manages emotional reactions to financial disclosures, knows when to pause</w:t>
            </w:r>
          </w:p>
        </w:tc>
      </w:tr>
      <w:tr>
        <w:tc>
          <w:tcPr/>
          <w:p>
            <w:pPr>
              <w:pStyle w:val="Compact"/>
            </w:pPr>
            <w:r>
              <w:t xml:space="preserve">2</w:t>
            </w:r>
          </w:p>
        </w:tc>
        <w:tc>
          <w:tcPr/>
          <w:p>
            <w:pPr>
              <w:pStyle w:val="Compact"/>
            </w:pPr>
            <w:r>
              <w:t xml:space="preserve">Team communication / avoid case traps</w:t>
            </w:r>
          </w:p>
        </w:tc>
        <w:tc>
          <w:tcPr/>
          <w:p>
            <w:pPr>
              <w:pStyle w:val="Compact"/>
            </w:pPr>
            <w:r>
              <w:t xml:space="preserve">FP presents complex info without triggering shutdown; team coordinates on separate property explanation</w:t>
            </w:r>
          </w:p>
        </w:tc>
      </w:tr>
      <w:tr>
        <w:tc>
          <w:tcPr/>
          <w:p>
            <w:pPr>
              <w:pStyle w:val="Compact"/>
            </w:pPr>
            <w:r>
              <w:t xml:space="preserve">1</w:t>
            </w:r>
          </w:p>
        </w:tc>
        <w:tc>
          <w:tcPr/>
          <w:p>
            <w:pPr>
              <w:pStyle w:val="Compact"/>
            </w:pPr>
            <w:r>
              <w:t xml:space="preserve">AI tools for team efficiency</w:t>
            </w:r>
          </w:p>
        </w:tc>
        <w:tc>
          <w:tcPr/>
          <w:p>
            <w:pPr>
              <w:pStyle w:val="Compact"/>
            </w:pPr>
            <w:r>
              <w:t xml:space="preserve">Pre-read packet preparation, Fathom intake videos referenced</w:t>
            </w:r>
          </w:p>
        </w:tc>
      </w:tr>
    </w:tbl>
    <w:p>
      <w:r>
        <w:pict>
          <v:rect style="width:0;height:1.5pt" o:hralign="center" o:hrstd="t" o:hr="t"/>
        </w:pict>
      </w:r>
    </w:p>
    <w:bookmarkEnd w:id="24"/>
    <w:bookmarkStart w:id="25" w:name="production-notes-cle-presenters-only"/>
    <w:p>
      <w:pPr>
        <w:pStyle w:val="Heading2"/>
      </w:pPr>
      <w:r>
        <w:t xml:space="preserve">Production Notes (CLE Presenters Only)</w:t>
      </w:r>
    </w:p>
    <w:p>
      <w:pPr>
        <w:pStyle w:val="FirstParagraph"/>
      </w:pPr>
      <w:r>
        <w:rPr>
          <w:b/>
          <w:bCs/>
        </w:rPr>
        <w:t xml:space="preserve">Tone:</w:t>
      </w:r>
      <w:r>
        <w:t xml:space="preserve"> </w:t>
      </w:r>
      <w:r>
        <w:t xml:space="preserve">Professional optimism cracking under the weight of reality.</w:t>
      </w:r>
    </w:p>
    <w:p>
      <w:pPr>
        <w:pStyle w:val="BodyText"/>
      </w:pPr>
      <w:r>
        <w:rPr>
          <w:b/>
          <w:bCs/>
        </w:rPr>
        <w:t xml:space="preserve">Key dramatic beats:</w:t>
      </w:r>
      <w:r>
        <w:t xml:space="preserve"> </w:t>
      </w:r>
      <w:r>
        <w:t xml:space="preserve">1. Angela learning the compensation isn’t guaranteed (income variability)</w:t>
      </w:r>
      <w:r>
        <w:t xml:space="preserve"> </w:t>
      </w:r>
      <w:r>
        <w:t xml:space="preserve">2. The house is underwater — visible shock from both clients</w:t>
      </w:r>
      <w:r>
        <w:t xml:space="preserve"> </w:t>
      </w:r>
      <w:r>
        <w:t xml:space="preserve">3. Angela’s face changing when separate property inside the trust is explained</w:t>
      </w:r>
      <w:r>
        <w:t xml:space="preserve"> </w:t>
      </w:r>
      <w:r>
        <w:t xml:space="preserve">4. Tommy’s evasiveness about the IRS situation</w:t>
      </w:r>
      <w:r>
        <w:t xml:space="preserve"> </w:t>
      </w:r>
      <w:r>
        <w:t xml:space="preserve">5. The monthly spending reveal — Tommy seeing the aggregate for the first time</w:t>
      </w:r>
    </w:p>
    <w:p>
      <w:pPr>
        <w:pStyle w:val="BodyText"/>
      </w:pPr>
      <w:r>
        <w:rPr>
          <w:b/>
          <w:bCs/>
        </w:rPr>
        <w:t xml:space="preserve">MHP’s critical moments:</w:t>
      </w:r>
      <w:r>
        <w:t xml:space="preserve"> </w:t>
      </w:r>
      <w:r>
        <w:t xml:space="preserve">- Pause after the trust/separate property explanation to let Angela process</w:t>
      </w:r>
      <w:r>
        <w:t xml:space="preserve"> </w:t>
      </w:r>
      <w:r>
        <w:t xml:space="preserve">- Redirect if Tommy starts lecturing Angela about spending</w:t>
      </w:r>
      <w:r>
        <w:t xml:space="preserve"> </w:t>
      </w:r>
      <w:r>
        <w:t xml:space="preserve">- Close the meeting with a normalizing statement: this is hard information, and it’s supposed to be — that’s why we’re doing this together</w:t>
      </w:r>
    </w:p>
    <w:p>
      <w:pPr>
        <w:pStyle w:val="BodyText"/>
      </w:pPr>
      <w:r>
        <w:rPr>
          <w:b/>
          <w:bCs/>
        </w:rPr>
        <w:t xml:space="preserve">What is intentionally withheld</w:t>
      </w:r>
      <w:r>
        <w:t xml:space="preserve"> </w:t>
      </w:r>
      <w:r>
        <w:t xml:space="preserve">(saves for Meeting 3):</w:t>
      </w:r>
      <w:r>
        <w:t xml:space="preserve"> </w:t>
      </w:r>
      <w:r>
        <w:t xml:space="preserve">- Robotic Roughneck LLC</w:t>
      </w:r>
      <w:r>
        <w:t xml:space="preserve"> </w:t>
      </w:r>
      <w:r>
        <w:t xml:space="preserve">- Gold/precious metals purchases</w:t>
      </w:r>
      <w:r>
        <w:t xml:space="preserve"> </w:t>
      </w:r>
      <w:r>
        <w:t xml:space="preserve">- Full extent of credit card debt</w:t>
      </w:r>
      <w:r>
        <w:t xml:space="preserve"> </w:t>
      </w:r>
      <w:r>
        <w:t xml:space="preserve">- Drained college savings account</w:t>
      </w:r>
      <w:r>
        <w:t xml:space="preserve"> </w:t>
      </w:r>
      <w:r>
        <w:t xml:space="preserve">- Angela’s Fort Worth rental</w:t>
      </w:r>
    </w:p>
    <w:p>
      <w:pPr>
        <w:pStyle w:val="BodyText"/>
      </w:pPr>
      <w:r>
        <w:t xml:space="preserve">These hidden items are the fuel for Meeting 3’s crisis. The team discovers them through deeper document review between meetings.</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2026-03-31T16:36:11Z</dcterms:created>
  <dcterms:modified xsi:type="dcterms:W3CDTF">2026-03-31T16:36:11Z</dcterms:modified>
</cp:coreProperties>
</file>

<file path=docProps/custom.xml><?xml version="1.0" encoding="utf-8"?>
<Properties xmlns="http://schemas.openxmlformats.org/officeDocument/2006/custom-properties" xmlns:vt="http://schemas.openxmlformats.org/officeDocument/2006/docPropsVTypes"/>
</file>